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11" w:rsidRDefault="004A5D11" w:rsidP="00B122A9">
      <w:pPr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3D6169" w:rsidRPr="00B122A9" w:rsidRDefault="003D6169" w:rsidP="00B122A9">
      <w:pPr>
        <w:ind w:firstLine="426"/>
        <w:jc w:val="center"/>
        <w:rPr>
          <w:rFonts w:ascii="Bookman Old Style" w:hAnsi="Bookman Old Style"/>
          <w:b/>
          <w:sz w:val="24"/>
        </w:rPr>
      </w:pPr>
      <w:r w:rsidRPr="003D6169">
        <w:rPr>
          <w:rFonts w:ascii="Bookman Old Style" w:hAnsi="Bookman Old Style"/>
          <w:b/>
          <w:sz w:val="24"/>
        </w:rPr>
        <w:t xml:space="preserve">Declaración </w:t>
      </w:r>
    </w:p>
    <w:p w:rsidR="00672DE7" w:rsidRPr="003D6169" w:rsidRDefault="00672DE7" w:rsidP="005C1DDD">
      <w:pPr>
        <w:ind w:firstLine="426"/>
        <w:jc w:val="both"/>
        <w:rPr>
          <w:rFonts w:ascii="Bookman Old Style" w:hAnsi="Bookman Old Style"/>
          <w:sz w:val="24"/>
        </w:rPr>
      </w:pPr>
      <w:r w:rsidRPr="003D6169">
        <w:rPr>
          <w:rFonts w:ascii="Bookman Old Style" w:hAnsi="Bookman Old Style"/>
          <w:sz w:val="24"/>
        </w:rPr>
        <w:t>Ante los anuncios de</w:t>
      </w:r>
      <w:r w:rsidR="006761F1" w:rsidRPr="003D6169">
        <w:rPr>
          <w:rFonts w:ascii="Bookman Old Style" w:hAnsi="Bookman Old Style"/>
          <w:sz w:val="24"/>
        </w:rPr>
        <w:t xml:space="preserve"> una eventual</w:t>
      </w:r>
      <w:r w:rsidRPr="003D6169">
        <w:rPr>
          <w:rFonts w:ascii="Bookman Old Style" w:hAnsi="Bookman Old Style"/>
          <w:sz w:val="24"/>
        </w:rPr>
        <w:t xml:space="preserve"> acusación constitucional en contra de tres Ministros de la Corte Suprema y la declaración emitida por ésta, el Colegio de Abogados</w:t>
      </w:r>
      <w:r w:rsidR="005C1DDD" w:rsidRPr="003D6169">
        <w:rPr>
          <w:rFonts w:ascii="Bookman Old Style" w:hAnsi="Bookman Old Style"/>
          <w:sz w:val="24"/>
        </w:rPr>
        <w:t xml:space="preserve">, consciente de la trascendencia que el hecho puede tener para el regular desenvolvimiento de nuestra institucionalidad, </w:t>
      </w:r>
      <w:r w:rsidRPr="003D6169">
        <w:rPr>
          <w:rFonts w:ascii="Bookman Old Style" w:hAnsi="Bookman Old Style"/>
          <w:sz w:val="24"/>
        </w:rPr>
        <w:t xml:space="preserve"> se hace un deber dar a conocer su parece</w:t>
      </w:r>
      <w:r w:rsidR="00FE5ABF">
        <w:rPr>
          <w:rFonts w:ascii="Bookman Old Style" w:hAnsi="Bookman Old Style"/>
          <w:sz w:val="24"/>
        </w:rPr>
        <w:t>r.</w:t>
      </w:r>
    </w:p>
    <w:p w:rsidR="00AD6974" w:rsidRDefault="00B67B19" w:rsidP="00AD6974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Bookman Old Style" w:hAnsi="Bookman Old Style"/>
          <w:sz w:val="24"/>
        </w:rPr>
      </w:pPr>
      <w:r w:rsidRPr="00C06ED5">
        <w:rPr>
          <w:rFonts w:ascii="Bookman Old Style" w:hAnsi="Bookman Old Style"/>
          <w:sz w:val="24"/>
        </w:rPr>
        <w:t>La acusación constitucional es un mecanismo</w:t>
      </w:r>
      <w:r w:rsidR="006E4A59" w:rsidRPr="00C06ED5">
        <w:rPr>
          <w:rFonts w:ascii="Bookman Old Style" w:hAnsi="Bookman Old Style"/>
          <w:sz w:val="24"/>
        </w:rPr>
        <w:t xml:space="preserve"> excepcional </w:t>
      </w:r>
      <w:r w:rsidRPr="00C06ED5">
        <w:rPr>
          <w:rFonts w:ascii="Bookman Old Style" w:hAnsi="Bookman Old Style"/>
          <w:sz w:val="24"/>
        </w:rPr>
        <w:t>contemplado en la Constitución</w:t>
      </w:r>
      <w:r w:rsidR="00285E66" w:rsidRPr="00C06ED5">
        <w:rPr>
          <w:rFonts w:ascii="Bookman Old Style" w:hAnsi="Bookman Old Style"/>
          <w:sz w:val="24"/>
        </w:rPr>
        <w:t xml:space="preserve">. </w:t>
      </w:r>
      <w:r w:rsidR="00EF174A" w:rsidRPr="00C06ED5">
        <w:rPr>
          <w:rFonts w:ascii="Bookman Old Style" w:hAnsi="Bookman Old Style"/>
          <w:sz w:val="24"/>
        </w:rPr>
        <w:t>Con todo</w:t>
      </w:r>
      <w:r w:rsidR="00AD6974">
        <w:rPr>
          <w:rFonts w:ascii="Bookman Old Style" w:hAnsi="Bookman Old Style"/>
          <w:sz w:val="24"/>
        </w:rPr>
        <w:t xml:space="preserve">, </w:t>
      </w:r>
      <w:r w:rsidRPr="00C06ED5">
        <w:rPr>
          <w:rFonts w:ascii="Bookman Old Style" w:hAnsi="Bookman Old Style"/>
          <w:sz w:val="24"/>
        </w:rPr>
        <w:t xml:space="preserve"> </w:t>
      </w:r>
      <w:r w:rsidR="00C06ED5">
        <w:rPr>
          <w:rFonts w:ascii="Bookman Old Style" w:hAnsi="Bookman Old Style"/>
          <w:sz w:val="24"/>
        </w:rPr>
        <w:t xml:space="preserve">para que </w:t>
      </w:r>
      <w:r w:rsidR="00EF174A" w:rsidRPr="00C06ED5">
        <w:rPr>
          <w:rFonts w:ascii="Bookman Old Style" w:hAnsi="Bookman Old Style"/>
          <w:sz w:val="24"/>
        </w:rPr>
        <w:t xml:space="preserve"> sea </w:t>
      </w:r>
      <w:r w:rsidR="006C0D81" w:rsidRPr="00C06ED5">
        <w:rPr>
          <w:rFonts w:ascii="Bookman Old Style" w:hAnsi="Bookman Old Style"/>
          <w:sz w:val="24"/>
        </w:rPr>
        <w:t xml:space="preserve"> procedente</w:t>
      </w:r>
      <w:r w:rsidRPr="00C06ED5">
        <w:rPr>
          <w:rFonts w:ascii="Bookman Old Style" w:hAnsi="Bookman Old Style"/>
          <w:sz w:val="24"/>
        </w:rPr>
        <w:t>, la Constitución establece requisitos copulativos que tienen un significado preciso.</w:t>
      </w:r>
    </w:p>
    <w:p w:rsidR="001F6A35" w:rsidRDefault="00B67B19" w:rsidP="001F6A35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Bookman Old Style" w:hAnsi="Bookman Old Style"/>
          <w:sz w:val="24"/>
        </w:rPr>
      </w:pPr>
      <w:r w:rsidRPr="00AD6974">
        <w:rPr>
          <w:rFonts w:ascii="Bookman Old Style" w:hAnsi="Bookman Old Style"/>
          <w:sz w:val="24"/>
        </w:rPr>
        <w:t>En primer lugar, la acusación de</w:t>
      </w:r>
      <w:r w:rsidR="00604DBD" w:rsidRPr="00AD6974">
        <w:rPr>
          <w:rFonts w:ascii="Bookman Old Style" w:hAnsi="Bookman Old Style"/>
          <w:sz w:val="24"/>
        </w:rPr>
        <w:t xml:space="preserve">be </w:t>
      </w:r>
      <w:r w:rsidRPr="00AD6974">
        <w:rPr>
          <w:rFonts w:ascii="Bookman Old Style" w:hAnsi="Bookman Old Style"/>
          <w:sz w:val="24"/>
        </w:rPr>
        <w:t xml:space="preserve">especificar </w:t>
      </w:r>
      <w:r w:rsidR="00604DBD" w:rsidRPr="00AD6974">
        <w:rPr>
          <w:rFonts w:ascii="Bookman Old Style" w:hAnsi="Bookman Old Style"/>
          <w:sz w:val="24"/>
        </w:rPr>
        <w:t xml:space="preserve">con </w:t>
      </w:r>
      <w:r w:rsidR="003C4D89">
        <w:rPr>
          <w:rFonts w:ascii="Bookman Old Style" w:hAnsi="Bookman Old Style"/>
          <w:sz w:val="24"/>
        </w:rPr>
        <w:t>alto nivel de precisión</w:t>
      </w:r>
      <w:r w:rsidR="00604DBD" w:rsidRPr="00AD6974">
        <w:rPr>
          <w:rFonts w:ascii="Bookman Old Style" w:hAnsi="Bookman Old Style"/>
          <w:sz w:val="24"/>
        </w:rPr>
        <w:t xml:space="preserve"> el deber incumplido. </w:t>
      </w:r>
      <w:r w:rsidR="00672DE7" w:rsidRPr="00AD6974">
        <w:rPr>
          <w:rFonts w:ascii="Bookman Old Style" w:hAnsi="Bookman Old Style"/>
          <w:sz w:val="24"/>
        </w:rPr>
        <w:t xml:space="preserve">Los acusados deben haber desatendido un imperativo que </w:t>
      </w:r>
      <w:r w:rsidR="00604DBD" w:rsidRPr="00AD6974">
        <w:rPr>
          <w:rFonts w:ascii="Bookman Old Style" w:hAnsi="Bookman Old Style"/>
          <w:sz w:val="24"/>
        </w:rPr>
        <w:t>inequívoc</w:t>
      </w:r>
      <w:r w:rsidR="00672DE7" w:rsidRPr="00AD6974">
        <w:rPr>
          <w:rFonts w:ascii="Bookman Old Style" w:hAnsi="Bookman Old Style"/>
          <w:sz w:val="24"/>
        </w:rPr>
        <w:t xml:space="preserve">amente pesaba sobre ellos; un deber </w:t>
      </w:r>
      <w:r w:rsidR="00604DBD" w:rsidRPr="00AD6974">
        <w:rPr>
          <w:rFonts w:ascii="Bookman Old Style" w:hAnsi="Bookman Old Style"/>
          <w:sz w:val="24"/>
        </w:rPr>
        <w:t xml:space="preserve">que se desprenda </w:t>
      </w:r>
      <w:r w:rsidR="00066299">
        <w:rPr>
          <w:rFonts w:ascii="Bookman Old Style" w:hAnsi="Bookman Old Style"/>
          <w:sz w:val="24"/>
        </w:rPr>
        <w:t xml:space="preserve">claramente </w:t>
      </w:r>
      <w:r w:rsidR="00604DBD" w:rsidRPr="00AD6974">
        <w:rPr>
          <w:rFonts w:ascii="Bookman Old Style" w:hAnsi="Bookman Old Style"/>
          <w:sz w:val="24"/>
        </w:rPr>
        <w:t xml:space="preserve">del sistema jurídico nacional y/o internacional vigente en Chile. </w:t>
      </w:r>
    </w:p>
    <w:p w:rsidR="001F6A35" w:rsidRDefault="003C4D89" w:rsidP="001F6A35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En</w:t>
      </w:r>
      <w:r w:rsidR="00DC52A8">
        <w:rPr>
          <w:rFonts w:ascii="Bookman Old Style" w:hAnsi="Bookman Old Style"/>
          <w:sz w:val="24"/>
        </w:rPr>
        <w:t xml:space="preserve"> segundo lugar, </w:t>
      </w:r>
      <w:r w:rsidR="00B67B19" w:rsidRPr="001F6A35">
        <w:rPr>
          <w:rFonts w:ascii="Bookman Old Style" w:hAnsi="Bookman Old Style"/>
          <w:sz w:val="24"/>
        </w:rPr>
        <w:t xml:space="preserve">para que </w:t>
      </w:r>
      <w:r w:rsidR="006761F1" w:rsidRPr="001F6A35">
        <w:rPr>
          <w:rFonts w:ascii="Bookman Old Style" w:hAnsi="Bookman Old Style"/>
          <w:sz w:val="24"/>
        </w:rPr>
        <w:t>sea procedente</w:t>
      </w:r>
      <w:r w:rsidR="00B67B19" w:rsidRPr="001F6A35">
        <w:rPr>
          <w:rFonts w:ascii="Bookman Old Style" w:hAnsi="Bookman Old Style"/>
          <w:sz w:val="24"/>
        </w:rPr>
        <w:t xml:space="preserve"> una acusación</w:t>
      </w:r>
      <w:r>
        <w:rPr>
          <w:rFonts w:ascii="Bookman Old Style" w:hAnsi="Bookman Old Style"/>
          <w:sz w:val="24"/>
        </w:rPr>
        <w:t>,</w:t>
      </w:r>
      <w:r w:rsidR="00DC52A8">
        <w:rPr>
          <w:rFonts w:ascii="Bookman Old Style" w:hAnsi="Bookman Old Style"/>
          <w:sz w:val="24"/>
        </w:rPr>
        <w:t xml:space="preserve"> </w:t>
      </w:r>
      <w:r w:rsidR="00B67B19" w:rsidRPr="001F6A35">
        <w:rPr>
          <w:rFonts w:ascii="Bookman Old Style" w:hAnsi="Bookman Old Style"/>
          <w:sz w:val="24"/>
        </w:rPr>
        <w:t>d</w:t>
      </w:r>
      <w:r w:rsidR="00604DBD" w:rsidRPr="001F6A35">
        <w:rPr>
          <w:rFonts w:ascii="Bookman Old Style" w:hAnsi="Bookman Old Style"/>
          <w:sz w:val="24"/>
        </w:rPr>
        <w:t>ebe tratarse de un abandono notable; esto es</w:t>
      </w:r>
      <w:r w:rsidR="006761F1" w:rsidRPr="001F6A35">
        <w:rPr>
          <w:rFonts w:ascii="Bookman Old Style" w:hAnsi="Bookman Old Style"/>
          <w:sz w:val="24"/>
        </w:rPr>
        <w:t>,</w:t>
      </w:r>
      <w:r w:rsidR="00604DBD" w:rsidRPr="001F6A35">
        <w:rPr>
          <w:rFonts w:ascii="Bookman Old Style" w:hAnsi="Bookman Old Style"/>
          <w:sz w:val="24"/>
        </w:rPr>
        <w:t xml:space="preserve"> debe </w:t>
      </w:r>
      <w:r w:rsidR="006761F1" w:rsidRPr="001F6A35">
        <w:rPr>
          <w:rFonts w:ascii="Bookman Old Style" w:hAnsi="Bookman Old Style"/>
          <w:sz w:val="24"/>
        </w:rPr>
        <w:t>existir</w:t>
      </w:r>
      <w:r w:rsidR="00604DBD" w:rsidRPr="001F6A35">
        <w:rPr>
          <w:rFonts w:ascii="Bookman Old Style" w:hAnsi="Bookman Old Style"/>
          <w:sz w:val="24"/>
        </w:rPr>
        <w:t xml:space="preserve"> convicción, demostrada por los antecedentes de la acusación</w:t>
      </w:r>
      <w:r w:rsidR="00152D83" w:rsidRPr="001F6A35">
        <w:rPr>
          <w:rFonts w:ascii="Bookman Old Style" w:hAnsi="Bookman Old Style"/>
          <w:sz w:val="24"/>
        </w:rPr>
        <w:t>,</w:t>
      </w:r>
      <w:r w:rsidR="00604DBD" w:rsidRPr="001F6A35">
        <w:rPr>
          <w:rFonts w:ascii="Bookman Old Style" w:hAnsi="Bookman Old Style"/>
          <w:sz w:val="24"/>
        </w:rPr>
        <w:t xml:space="preserve"> de que los acusados incurrieron en el abandono de </w:t>
      </w:r>
      <w:r w:rsidR="006761F1" w:rsidRPr="001F6A35">
        <w:rPr>
          <w:rFonts w:ascii="Bookman Old Style" w:hAnsi="Bookman Old Style"/>
          <w:sz w:val="24"/>
        </w:rPr>
        <w:t xml:space="preserve">sus </w:t>
      </w:r>
      <w:r w:rsidR="00604DBD" w:rsidRPr="001F6A35">
        <w:rPr>
          <w:rFonts w:ascii="Bookman Old Style" w:hAnsi="Bookman Old Style"/>
          <w:sz w:val="24"/>
        </w:rPr>
        <w:t xml:space="preserve">deberes con torcida intención o descuido manifiesto. </w:t>
      </w:r>
    </w:p>
    <w:p w:rsidR="00B122A9" w:rsidRPr="00F12C22" w:rsidRDefault="00B67B19" w:rsidP="00B122A9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Bookman Old Style" w:hAnsi="Bookman Old Style"/>
          <w:sz w:val="24"/>
        </w:rPr>
      </w:pPr>
      <w:r w:rsidRPr="001F6A35">
        <w:rPr>
          <w:rFonts w:ascii="Bookman Old Style" w:hAnsi="Bookman Old Style"/>
          <w:sz w:val="24"/>
        </w:rPr>
        <w:t xml:space="preserve">Si los dos </w:t>
      </w:r>
      <w:r w:rsidR="00604DBD" w:rsidRPr="001F6A35">
        <w:rPr>
          <w:rFonts w:ascii="Bookman Old Style" w:hAnsi="Bookman Old Style"/>
          <w:sz w:val="24"/>
        </w:rPr>
        <w:t xml:space="preserve">requisitos </w:t>
      </w:r>
      <w:r w:rsidRPr="001F6A35">
        <w:rPr>
          <w:rFonts w:ascii="Bookman Old Style" w:hAnsi="Bookman Old Style"/>
          <w:sz w:val="24"/>
        </w:rPr>
        <w:t xml:space="preserve">anteriores </w:t>
      </w:r>
      <w:r w:rsidR="00604DBD" w:rsidRPr="001F6A35">
        <w:rPr>
          <w:rFonts w:ascii="Bookman Old Style" w:hAnsi="Bookman Old Style"/>
          <w:sz w:val="24"/>
        </w:rPr>
        <w:t xml:space="preserve">no concurren, </w:t>
      </w:r>
      <w:r w:rsidRPr="001F6A35">
        <w:rPr>
          <w:rFonts w:ascii="Bookman Old Style" w:hAnsi="Bookman Old Style"/>
          <w:sz w:val="24"/>
        </w:rPr>
        <w:t xml:space="preserve">si ellos no logran </w:t>
      </w:r>
      <w:r w:rsidR="006761F1" w:rsidRPr="001F6A35">
        <w:rPr>
          <w:rFonts w:ascii="Bookman Old Style" w:hAnsi="Bookman Old Style"/>
          <w:sz w:val="24"/>
        </w:rPr>
        <w:t xml:space="preserve">acreditarse </w:t>
      </w:r>
      <w:r w:rsidRPr="001F6A35">
        <w:rPr>
          <w:rFonts w:ascii="Bookman Old Style" w:hAnsi="Bookman Old Style"/>
          <w:sz w:val="24"/>
        </w:rPr>
        <w:t xml:space="preserve">con </w:t>
      </w:r>
      <w:r w:rsidR="00152D83" w:rsidRPr="001F6A35">
        <w:rPr>
          <w:rFonts w:ascii="Bookman Old Style" w:hAnsi="Bookman Old Style"/>
          <w:sz w:val="24"/>
        </w:rPr>
        <w:t xml:space="preserve">entera </w:t>
      </w:r>
      <w:r w:rsidRPr="001F6A35">
        <w:rPr>
          <w:rFonts w:ascii="Bookman Old Style" w:hAnsi="Bookman Old Style"/>
          <w:sz w:val="24"/>
        </w:rPr>
        <w:t>claridad</w:t>
      </w:r>
      <w:r w:rsidR="006761F1" w:rsidRPr="001F6A35">
        <w:rPr>
          <w:rFonts w:ascii="Bookman Old Style" w:hAnsi="Bookman Old Style"/>
          <w:sz w:val="24"/>
        </w:rPr>
        <w:t xml:space="preserve"> o</w:t>
      </w:r>
      <w:r w:rsidRPr="001F6A35">
        <w:rPr>
          <w:rFonts w:ascii="Bookman Old Style" w:hAnsi="Bookman Old Style"/>
          <w:sz w:val="24"/>
        </w:rPr>
        <w:t xml:space="preserve"> </w:t>
      </w:r>
      <w:r w:rsidR="00604DBD" w:rsidRPr="001F6A35">
        <w:rPr>
          <w:rFonts w:ascii="Bookman Old Style" w:hAnsi="Bookman Old Style"/>
          <w:sz w:val="24"/>
        </w:rPr>
        <w:t xml:space="preserve">si </w:t>
      </w:r>
      <w:r w:rsidR="00052A84">
        <w:rPr>
          <w:rFonts w:ascii="Bookman Old Style" w:hAnsi="Bookman Old Style"/>
          <w:sz w:val="24"/>
        </w:rPr>
        <w:t xml:space="preserve">la acusación se funda en una discrepancia </w:t>
      </w:r>
      <w:r w:rsidR="00630314">
        <w:rPr>
          <w:rFonts w:ascii="Bookman Old Style" w:hAnsi="Bookman Old Style"/>
          <w:sz w:val="24"/>
        </w:rPr>
        <w:t xml:space="preserve">legítima </w:t>
      </w:r>
      <w:r w:rsidR="00052A84">
        <w:rPr>
          <w:rFonts w:ascii="Bookman Old Style" w:hAnsi="Bookman Old Style"/>
          <w:sz w:val="24"/>
        </w:rPr>
        <w:t xml:space="preserve">en </w:t>
      </w:r>
      <w:r w:rsidR="00630314">
        <w:rPr>
          <w:rFonts w:ascii="Bookman Old Style" w:hAnsi="Bookman Old Style"/>
          <w:sz w:val="24"/>
        </w:rPr>
        <w:t>la interpretación  de la ley</w:t>
      </w:r>
      <w:r w:rsidR="00363025">
        <w:rPr>
          <w:rFonts w:ascii="Bookman Old Style" w:hAnsi="Bookman Old Style"/>
          <w:sz w:val="24"/>
        </w:rPr>
        <w:t xml:space="preserve">, ella </w:t>
      </w:r>
      <w:r w:rsidR="00630314">
        <w:rPr>
          <w:rFonts w:ascii="Bookman Old Style" w:hAnsi="Bookman Old Style"/>
          <w:sz w:val="24"/>
        </w:rPr>
        <w:t xml:space="preserve"> </w:t>
      </w:r>
      <w:r w:rsidRPr="001F6A35">
        <w:rPr>
          <w:rFonts w:ascii="Bookman Old Style" w:hAnsi="Bookman Old Style"/>
          <w:sz w:val="24"/>
        </w:rPr>
        <w:t>afectaría el regular funcionamiento de nuestro Estado de Derecho y la debida separación de los poderes</w:t>
      </w:r>
      <w:r w:rsidR="00C227FA" w:rsidRPr="001F6A35">
        <w:rPr>
          <w:rFonts w:ascii="Bookman Old Style" w:hAnsi="Bookman Old Style"/>
          <w:sz w:val="24"/>
        </w:rPr>
        <w:t xml:space="preserve">, y en particular </w:t>
      </w:r>
      <w:r w:rsidR="00D820BC">
        <w:rPr>
          <w:rFonts w:ascii="Bookman Old Style" w:hAnsi="Bookman Old Style"/>
          <w:sz w:val="24"/>
        </w:rPr>
        <w:t>la independencia judicial consa</w:t>
      </w:r>
      <w:r w:rsidR="008E69F5">
        <w:rPr>
          <w:rFonts w:ascii="Bookman Old Style" w:hAnsi="Bookman Old Style"/>
          <w:sz w:val="24"/>
        </w:rPr>
        <w:t>grada en</w:t>
      </w:r>
      <w:r w:rsidR="00C227FA" w:rsidRPr="001F6A35">
        <w:rPr>
          <w:rFonts w:ascii="Bookman Old Style" w:hAnsi="Bookman Old Style"/>
          <w:sz w:val="24"/>
        </w:rPr>
        <w:t xml:space="preserve"> la Constitución Política</w:t>
      </w:r>
      <w:r w:rsidR="005C3013">
        <w:rPr>
          <w:rFonts w:ascii="Bookman Old Style" w:hAnsi="Bookman Old Style"/>
          <w:sz w:val="24"/>
        </w:rPr>
        <w:t>,</w:t>
      </w:r>
      <w:r w:rsidR="00C227FA" w:rsidRPr="001F6A35">
        <w:rPr>
          <w:rFonts w:ascii="Bookman Old Style" w:hAnsi="Bookman Old Style"/>
          <w:sz w:val="24"/>
        </w:rPr>
        <w:t xml:space="preserve"> </w:t>
      </w:r>
      <w:r w:rsidR="00B70EAC">
        <w:rPr>
          <w:rFonts w:ascii="Bookman Old Style" w:hAnsi="Bookman Old Style"/>
          <w:sz w:val="24"/>
        </w:rPr>
        <w:t xml:space="preserve"> la que establece que </w:t>
      </w:r>
      <w:r w:rsidR="00C227FA" w:rsidRPr="001F6A35">
        <w:rPr>
          <w:rFonts w:ascii="Bookman Old Style" w:hAnsi="Bookman Old Style"/>
          <w:sz w:val="24"/>
        </w:rPr>
        <w:t xml:space="preserve"> “</w:t>
      </w:r>
      <w:r w:rsidR="005C3013">
        <w:rPr>
          <w:rFonts w:ascii="Bookman Old Style" w:hAnsi="Bookman Old Style"/>
          <w:sz w:val="24"/>
        </w:rPr>
        <w:t>la</w:t>
      </w:r>
      <w:r w:rsidR="00C227FA" w:rsidRPr="001F6A35">
        <w:rPr>
          <w:rFonts w:ascii="Bookman Old Style" w:hAnsi="Bookman Old Style"/>
          <w:sz w:val="24"/>
        </w:rPr>
        <w:t xml:space="preserve"> facultad de conocer de las causas civiles y criminales, de resolverlas y de hacer ejecutar lo juzgado, pertenece exclusivamente a los tribunales establecidos por la ley. Ni el Presidente de la República ni el Congreso pueden, en caso alguno, ejercer funciones judiciales…”</w:t>
      </w:r>
      <w:r w:rsidR="00B70EAC">
        <w:rPr>
          <w:rFonts w:ascii="Bookman Old Style" w:hAnsi="Bookman Old Style"/>
          <w:sz w:val="24"/>
        </w:rPr>
        <w:t xml:space="preserve"> (artículo 76).</w:t>
      </w:r>
    </w:p>
    <w:p w:rsidR="003D6169" w:rsidRDefault="00B67B19" w:rsidP="001F6A35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Bookman Old Style" w:hAnsi="Bookman Old Style"/>
          <w:sz w:val="24"/>
        </w:rPr>
      </w:pPr>
      <w:r w:rsidRPr="001F6A35">
        <w:rPr>
          <w:rFonts w:ascii="Bookman Old Style" w:hAnsi="Bookman Old Style"/>
          <w:sz w:val="24"/>
        </w:rPr>
        <w:t>El Colegio de Abogados llama  a examinar con atención y objetividad que</w:t>
      </w:r>
      <w:r w:rsidR="002917D5" w:rsidRPr="001F6A35">
        <w:rPr>
          <w:rFonts w:ascii="Bookman Old Style" w:hAnsi="Bookman Old Style"/>
          <w:sz w:val="24"/>
        </w:rPr>
        <w:t xml:space="preserve"> una acusación constitucional </w:t>
      </w:r>
      <w:r w:rsidR="006761F1" w:rsidRPr="001F6A35">
        <w:rPr>
          <w:rFonts w:ascii="Bookman Old Style" w:hAnsi="Bookman Old Style"/>
          <w:sz w:val="24"/>
        </w:rPr>
        <w:t>debería</w:t>
      </w:r>
      <w:r w:rsidRPr="001F6A35">
        <w:rPr>
          <w:rFonts w:ascii="Bookman Old Style" w:hAnsi="Bookman Old Style"/>
          <w:sz w:val="24"/>
        </w:rPr>
        <w:t xml:space="preserve"> </w:t>
      </w:r>
      <w:r w:rsidR="005C1DDD" w:rsidRPr="001F6A35">
        <w:rPr>
          <w:rFonts w:ascii="Bookman Old Style" w:hAnsi="Bookman Old Style"/>
          <w:sz w:val="24"/>
        </w:rPr>
        <w:t>cumpl</w:t>
      </w:r>
      <w:r w:rsidR="006761F1" w:rsidRPr="001F6A35">
        <w:rPr>
          <w:rFonts w:ascii="Bookman Old Style" w:hAnsi="Bookman Old Style"/>
          <w:sz w:val="24"/>
        </w:rPr>
        <w:t>ir</w:t>
      </w:r>
      <w:r w:rsidR="005C1DDD" w:rsidRPr="001F6A35">
        <w:rPr>
          <w:rFonts w:ascii="Bookman Old Style" w:hAnsi="Bookman Old Style"/>
          <w:sz w:val="24"/>
        </w:rPr>
        <w:t xml:space="preserve"> con los dos requisitos antes descritos</w:t>
      </w:r>
      <w:r w:rsidR="006761F1" w:rsidRPr="001F6A35">
        <w:rPr>
          <w:rFonts w:ascii="Bookman Old Style" w:hAnsi="Bookman Old Style"/>
          <w:sz w:val="24"/>
        </w:rPr>
        <w:t>.</w:t>
      </w:r>
      <w:r w:rsidR="007743AE" w:rsidRPr="001F6A35">
        <w:rPr>
          <w:rFonts w:ascii="Bookman Old Style" w:hAnsi="Bookman Old Style"/>
          <w:sz w:val="24"/>
        </w:rPr>
        <w:t xml:space="preserve"> Es un deber</w:t>
      </w:r>
      <w:r w:rsidR="006761F1" w:rsidRPr="001F6A35">
        <w:rPr>
          <w:rFonts w:ascii="Bookman Old Style" w:hAnsi="Bookman Old Style"/>
          <w:sz w:val="24"/>
        </w:rPr>
        <w:t>,</w:t>
      </w:r>
      <w:r w:rsidR="007743AE" w:rsidRPr="001F6A35">
        <w:rPr>
          <w:rFonts w:ascii="Bookman Old Style" w:hAnsi="Bookman Old Style"/>
          <w:sz w:val="24"/>
        </w:rPr>
        <w:t xml:space="preserve"> </w:t>
      </w:r>
      <w:r w:rsidR="006761F1" w:rsidRPr="001F6A35">
        <w:rPr>
          <w:rFonts w:ascii="Bookman Old Style" w:hAnsi="Bookman Old Style"/>
          <w:sz w:val="24"/>
        </w:rPr>
        <w:t>en materias de esta naturaleza</w:t>
      </w:r>
      <w:r w:rsidR="00861A85">
        <w:rPr>
          <w:rFonts w:ascii="Bookman Old Style" w:hAnsi="Bookman Old Style"/>
          <w:sz w:val="24"/>
        </w:rPr>
        <w:t xml:space="preserve">, </w:t>
      </w:r>
      <w:r w:rsidR="00FE5815" w:rsidRPr="001F6A35">
        <w:rPr>
          <w:rFonts w:ascii="Bookman Old Style" w:hAnsi="Bookman Old Style"/>
          <w:sz w:val="24"/>
        </w:rPr>
        <w:t>proceder siempre con apoyo en an</w:t>
      </w:r>
      <w:r w:rsidR="00FF0920" w:rsidRPr="001F6A35">
        <w:rPr>
          <w:rFonts w:ascii="Bookman Old Style" w:hAnsi="Bookman Old Style"/>
          <w:sz w:val="24"/>
        </w:rPr>
        <w:t>tece</w:t>
      </w:r>
      <w:r w:rsidRPr="001F6A35">
        <w:rPr>
          <w:rFonts w:ascii="Bookman Old Style" w:hAnsi="Bookman Old Style"/>
          <w:sz w:val="24"/>
        </w:rPr>
        <w:t>dentes ciertos</w:t>
      </w:r>
      <w:r w:rsidR="006761F1" w:rsidRPr="001F6A35">
        <w:rPr>
          <w:rFonts w:ascii="Bookman Old Style" w:hAnsi="Bookman Old Style"/>
          <w:sz w:val="24"/>
        </w:rPr>
        <w:t>,</w:t>
      </w:r>
      <w:r w:rsidRPr="001F6A35">
        <w:rPr>
          <w:rFonts w:ascii="Bookman Old Style" w:hAnsi="Bookman Old Style"/>
          <w:sz w:val="24"/>
        </w:rPr>
        <w:t xml:space="preserve"> y te</w:t>
      </w:r>
      <w:r w:rsidR="005C1DDD" w:rsidRPr="001F6A35">
        <w:rPr>
          <w:rFonts w:ascii="Bookman Old Style" w:hAnsi="Bookman Old Style"/>
          <w:sz w:val="24"/>
        </w:rPr>
        <w:t xml:space="preserve">niendo a la vista </w:t>
      </w:r>
      <w:r w:rsidR="006761F1" w:rsidRPr="001F6A35">
        <w:rPr>
          <w:rFonts w:ascii="Bookman Old Style" w:hAnsi="Bookman Old Style"/>
          <w:sz w:val="24"/>
        </w:rPr>
        <w:t xml:space="preserve"> el </w:t>
      </w:r>
      <w:r w:rsidR="005C1DDD" w:rsidRPr="001F6A35">
        <w:rPr>
          <w:rFonts w:ascii="Bookman Old Style" w:hAnsi="Bookman Old Style"/>
          <w:sz w:val="24"/>
        </w:rPr>
        <w:t>deber de colaborar con el fortalecimiento del sistema jurídic</w:t>
      </w:r>
      <w:r w:rsidR="00624D16" w:rsidRPr="001F6A35">
        <w:rPr>
          <w:rFonts w:ascii="Bookman Old Style" w:hAnsi="Bookman Old Style"/>
          <w:sz w:val="24"/>
        </w:rPr>
        <w:t>o.</w:t>
      </w:r>
    </w:p>
    <w:p w:rsidR="004A5D11" w:rsidRDefault="004A5D11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</w:p>
    <w:p w:rsidR="004A5D11" w:rsidRDefault="00F86066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La presente declaración, ha sido acordada por la unanimidad del Consejo General del Colegio de la Orden.</w:t>
      </w:r>
    </w:p>
    <w:p w:rsidR="00F86066" w:rsidRDefault="00F86066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</w:p>
    <w:p w:rsidR="00F86066" w:rsidRDefault="00F86066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Santiago, 13 de agosto de 2018.-</w:t>
      </w:r>
    </w:p>
    <w:p w:rsidR="00F86066" w:rsidRDefault="00F86066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</w:p>
    <w:p w:rsidR="00F86066" w:rsidRDefault="00F86066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</w:p>
    <w:p w:rsidR="00F86066" w:rsidRDefault="00F86066" w:rsidP="004A5D11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Consejo General</w:t>
      </w:r>
    </w:p>
    <w:p w:rsidR="00CE34C9" w:rsidRPr="003272C4" w:rsidRDefault="00F86066" w:rsidP="00F12C22">
      <w:pPr>
        <w:pStyle w:val="Prrafodelista"/>
        <w:spacing w:before="240" w:after="2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Colegio de Abogados de Chile</w:t>
      </w:r>
    </w:p>
    <w:sectPr w:rsidR="00CE34C9" w:rsidRPr="003272C4" w:rsidSect="00F12C22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1F4" w:rsidRDefault="00A841F4" w:rsidP="004A5D11">
      <w:pPr>
        <w:spacing w:after="0" w:line="240" w:lineRule="auto"/>
      </w:pPr>
      <w:r>
        <w:separator/>
      </w:r>
    </w:p>
  </w:endnote>
  <w:endnote w:type="continuationSeparator" w:id="0">
    <w:p w:rsidR="00A841F4" w:rsidRDefault="00A841F4" w:rsidP="004A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1F4" w:rsidRDefault="00A841F4" w:rsidP="004A5D11">
      <w:pPr>
        <w:spacing w:after="0" w:line="240" w:lineRule="auto"/>
      </w:pPr>
      <w:r>
        <w:separator/>
      </w:r>
    </w:p>
  </w:footnote>
  <w:footnote w:type="continuationSeparator" w:id="0">
    <w:p w:rsidR="00A841F4" w:rsidRDefault="00A841F4" w:rsidP="004A5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D11" w:rsidRDefault="004A5D11">
    <w:pPr>
      <w:pStyle w:val="Encabezado"/>
    </w:pPr>
    <w:r>
      <w:rPr>
        <w:noProof/>
        <w:lang w:eastAsia="es-CL"/>
      </w:rPr>
      <w:drawing>
        <wp:inline distT="0" distB="0" distL="0" distR="0" wp14:anchorId="0669819D" wp14:editId="189E0CA6">
          <wp:extent cx="3168396" cy="90068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Abogado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396" cy="9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D11" w:rsidRDefault="004A5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67250"/>
    <w:multiLevelType w:val="hybridMultilevel"/>
    <w:tmpl w:val="423446EA"/>
    <w:lvl w:ilvl="0" w:tplc="E94CC26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BD"/>
    <w:rsid w:val="00052A84"/>
    <w:rsid w:val="00066299"/>
    <w:rsid w:val="00066ED3"/>
    <w:rsid w:val="001106E4"/>
    <w:rsid w:val="00152D83"/>
    <w:rsid w:val="001F6A35"/>
    <w:rsid w:val="00285E66"/>
    <w:rsid w:val="002917D5"/>
    <w:rsid w:val="002A0B2B"/>
    <w:rsid w:val="003272C4"/>
    <w:rsid w:val="00363025"/>
    <w:rsid w:val="00372997"/>
    <w:rsid w:val="003C4D89"/>
    <w:rsid w:val="003D6169"/>
    <w:rsid w:val="004A5D11"/>
    <w:rsid w:val="005427E3"/>
    <w:rsid w:val="00544A29"/>
    <w:rsid w:val="005832B3"/>
    <w:rsid w:val="005C1DDD"/>
    <w:rsid w:val="005C3013"/>
    <w:rsid w:val="005D7828"/>
    <w:rsid w:val="005F4D65"/>
    <w:rsid w:val="00604DBD"/>
    <w:rsid w:val="00607BAE"/>
    <w:rsid w:val="00624D16"/>
    <w:rsid w:val="00630314"/>
    <w:rsid w:val="00631339"/>
    <w:rsid w:val="00672DE7"/>
    <w:rsid w:val="006761F1"/>
    <w:rsid w:val="006C0D81"/>
    <w:rsid w:val="006E4A59"/>
    <w:rsid w:val="007743AE"/>
    <w:rsid w:val="00797D23"/>
    <w:rsid w:val="00802434"/>
    <w:rsid w:val="00861A85"/>
    <w:rsid w:val="008D6BDD"/>
    <w:rsid w:val="008E69F5"/>
    <w:rsid w:val="008F21A2"/>
    <w:rsid w:val="0092566B"/>
    <w:rsid w:val="00937592"/>
    <w:rsid w:val="009F1B0E"/>
    <w:rsid w:val="00A26E9F"/>
    <w:rsid w:val="00A841F4"/>
    <w:rsid w:val="00AD6974"/>
    <w:rsid w:val="00B122A9"/>
    <w:rsid w:val="00B51BB6"/>
    <w:rsid w:val="00B67B19"/>
    <w:rsid w:val="00B70EAC"/>
    <w:rsid w:val="00B92DEA"/>
    <w:rsid w:val="00C014AE"/>
    <w:rsid w:val="00C06ED5"/>
    <w:rsid w:val="00C227FA"/>
    <w:rsid w:val="00C30440"/>
    <w:rsid w:val="00CE34C9"/>
    <w:rsid w:val="00CF50E8"/>
    <w:rsid w:val="00D11E7F"/>
    <w:rsid w:val="00D820BC"/>
    <w:rsid w:val="00DC52A8"/>
    <w:rsid w:val="00E374EE"/>
    <w:rsid w:val="00EF174A"/>
    <w:rsid w:val="00F12C22"/>
    <w:rsid w:val="00F17D94"/>
    <w:rsid w:val="00F86066"/>
    <w:rsid w:val="00FE5815"/>
    <w:rsid w:val="00FE5ABF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92840-54E0-42AB-85C4-C99371E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D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8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5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D11"/>
  </w:style>
  <w:style w:type="paragraph" w:styleId="Piedepgina">
    <w:name w:val="footer"/>
    <w:basedOn w:val="Normal"/>
    <w:link w:val="PiedepginaCar"/>
    <w:uiPriority w:val="99"/>
    <w:unhideWhenUsed/>
    <w:rsid w:val="004A5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9789-B123-445B-918A-3E667328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jorgee</dc:creator>
  <cp:lastModifiedBy>Alejandro</cp:lastModifiedBy>
  <cp:revision>2</cp:revision>
  <cp:lastPrinted>2018-08-12T23:29:00Z</cp:lastPrinted>
  <dcterms:created xsi:type="dcterms:W3CDTF">2019-01-03T15:58:00Z</dcterms:created>
  <dcterms:modified xsi:type="dcterms:W3CDTF">2019-01-03T15:58:00Z</dcterms:modified>
</cp:coreProperties>
</file>