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A0350B" w14:textId="77777777" w:rsidR="001D3347" w:rsidRDefault="001D3347">
      <w:pPr>
        <w:ind w:left="0" w:firstLine="0"/>
        <w:jc w:val="left"/>
      </w:pPr>
    </w:p>
    <w:p w14:paraId="6C1FAA81" w14:textId="77777777" w:rsidR="0093544C" w:rsidRPr="00A66AAA" w:rsidRDefault="0093544C" w:rsidP="00D32D57">
      <w:pPr>
        <w:spacing w:after="193"/>
        <w:ind w:left="-5"/>
        <w:jc w:val="center"/>
        <w:rPr>
          <w:b/>
          <w:bCs/>
          <w:lang w:val="es-CL"/>
        </w:rPr>
      </w:pPr>
      <w:r w:rsidRPr="00A66AAA">
        <w:rPr>
          <w:b/>
          <w:bCs/>
          <w:lang w:val="es-CL"/>
        </w:rPr>
        <w:t>CONSULTA ETICA SOBRE PLAZO DE PROHIBICION DE EJERCER LA PROFESION PARA UN ABOGADO INTEGRANTE LUEGO DE DOS AÑOS DE EJERCICIO DE UNA FUNCION JURISDICCIONAL.</w:t>
      </w:r>
    </w:p>
    <w:p w14:paraId="15DD09F5" w14:textId="77777777" w:rsidR="0093544C" w:rsidRPr="00A66AAA" w:rsidRDefault="0093544C">
      <w:pPr>
        <w:spacing w:after="193"/>
        <w:ind w:left="-5"/>
        <w:rPr>
          <w:lang w:val="es-CL"/>
        </w:rPr>
      </w:pPr>
    </w:p>
    <w:p w14:paraId="5BD3AF7A" w14:textId="77777777" w:rsidR="001D3347" w:rsidRPr="00A66AAA" w:rsidRDefault="007815D3">
      <w:pPr>
        <w:spacing w:after="193"/>
        <w:ind w:left="-5"/>
        <w:rPr>
          <w:lang w:val="es-CL"/>
        </w:rPr>
      </w:pPr>
      <w:r w:rsidRPr="00A66AAA">
        <w:rPr>
          <w:lang w:val="es-CL"/>
        </w:rPr>
        <w:t xml:space="preserve">En </w:t>
      </w:r>
      <w:r w:rsidRPr="003658F4">
        <w:rPr>
          <w:lang w:val="es-ES_tradnl"/>
        </w:rPr>
        <w:t>conformidad</w:t>
      </w:r>
      <w:r w:rsidRPr="00A66AAA">
        <w:rPr>
          <w:lang w:val="es-CL"/>
        </w:rPr>
        <w:t xml:space="preserve"> con lo dispuesto en el artículo 29 del Reglamento Disciplinario </w:t>
      </w:r>
      <w:r w:rsidR="003658F4" w:rsidRPr="00A66AAA">
        <w:rPr>
          <w:lang w:val="es-CL"/>
        </w:rPr>
        <w:t xml:space="preserve">se </w:t>
      </w:r>
      <w:r w:rsidRPr="00A66AAA">
        <w:rPr>
          <w:lang w:val="es-CL"/>
        </w:rPr>
        <w:t>formul</w:t>
      </w:r>
      <w:r w:rsidR="003658F4" w:rsidRPr="00A66AAA">
        <w:rPr>
          <w:lang w:val="es-CL"/>
        </w:rPr>
        <w:t xml:space="preserve">ó </w:t>
      </w:r>
      <w:r w:rsidRPr="00A66AAA">
        <w:rPr>
          <w:lang w:val="es-CL"/>
        </w:rPr>
        <w:t xml:space="preserve">la siguiente consulta ética: </w:t>
      </w:r>
    </w:p>
    <w:p w14:paraId="62FFD35B" w14:textId="62A5D410" w:rsidR="003658F4" w:rsidRPr="00A66AAA" w:rsidRDefault="007815D3">
      <w:pPr>
        <w:numPr>
          <w:ilvl w:val="0"/>
          <w:numId w:val="1"/>
        </w:numPr>
        <w:spacing w:after="29"/>
        <w:ind w:hanging="360"/>
        <w:rPr>
          <w:lang w:val="es-CL"/>
        </w:rPr>
      </w:pPr>
      <w:r w:rsidRPr="00A66AAA">
        <w:rPr>
          <w:lang w:val="es-CL"/>
        </w:rPr>
        <w:t xml:space="preserve">El art 67 inciso 3o </w:t>
      </w:r>
      <w:r w:rsidR="003658F4" w:rsidRPr="00A66AAA">
        <w:rPr>
          <w:lang w:val="es-CL"/>
        </w:rPr>
        <w:t>d</w:t>
      </w:r>
      <w:r w:rsidRPr="00A66AAA">
        <w:rPr>
          <w:lang w:val="es-CL"/>
        </w:rPr>
        <w:t xml:space="preserve">el Código de </w:t>
      </w:r>
      <w:r w:rsidR="00A66AAA" w:rsidRPr="00A66AAA">
        <w:rPr>
          <w:lang w:val="es-CL"/>
        </w:rPr>
        <w:t>Ética</w:t>
      </w:r>
      <w:r w:rsidRPr="00A66AAA">
        <w:rPr>
          <w:lang w:val="es-CL"/>
        </w:rPr>
        <w:t xml:space="preserve"> dispone que </w:t>
      </w:r>
      <w:r w:rsidRPr="00A66AAA">
        <w:rPr>
          <w:rFonts w:cs="Calibri"/>
          <w:lang w:val="es-CL"/>
        </w:rPr>
        <w:t>“</w:t>
      </w:r>
      <w:r w:rsidRPr="00A66AAA">
        <w:rPr>
          <w:rFonts w:cs="Calibri"/>
          <w:i/>
          <w:lang w:val="es-CL"/>
        </w:rPr>
        <w:t xml:space="preserve">el abogado que desempeñe funciones jurisdiccionales no puede patrocinar ni representar intereses en ningún asunto judicial que estuviere o pudiere quedar sometido a la jurisdicción de dicho </w:t>
      </w:r>
      <w:r w:rsidR="00A66AAA" w:rsidRPr="00A66AAA">
        <w:rPr>
          <w:rFonts w:cs="Calibri"/>
          <w:i/>
          <w:lang w:val="es-CL"/>
        </w:rPr>
        <w:t>tribunal mientras</w:t>
      </w:r>
      <w:r w:rsidRPr="00A66AAA">
        <w:rPr>
          <w:rFonts w:cs="Calibri"/>
          <w:i/>
          <w:lang w:val="es-CL"/>
        </w:rPr>
        <w:t xml:space="preserve"> ejerza tal función y hasta 2 años después de haber cesado en ella”</w:t>
      </w:r>
      <w:r w:rsidRPr="00A66AAA">
        <w:rPr>
          <w:lang w:val="es-CL"/>
        </w:rPr>
        <w:t>.</w:t>
      </w:r>
    </w:p>
    <w:p w14:paraId="0B5C2374" w14:textId="77777777" w:rsidR="001D3347" w:rsidRPr="00A66AAA" w:rsidRDefault="007815D3" w:rsidP="003658F4">
      <w:pPr>
        <w:spacing w:after="29"/>
        <w:ind w:left="721" w:firstLine="0"/>
        <w:rPr>
          <w:lang w:val="es-CL"/>
        </w:rPr>
      </w:pPr>
      <w:r w:rsidRPr="00A66AAA">
        <w:rPr>
          <w:lang w:val="es-CL"/>
        </w:rPr>
        <w:t xml:space="preserve"> </w:t>
      </w:r>
    </w:p>
    <w:p w14:paraId="68C8C100" w14:textId="0F0D24F7" w:rsidR="003658F4" w:rsidRPr="00A66AAA" w:rsidRDefault="00744769" w:rsidP="003658F4">
      <w:pPr>
        <w:numPr>
          <w:ilvl w:val="0"/>
          <w:numId w:val="1"/>
        </w:numPr>
        <w:spacing w:after="34"/>
        <w:ind w:hanging="360"/>
        <w:rPr>
          <w:lang w:val="es-CL"/>
        </w:rPr>
      </w:pPr>
      <w:r w:rsidRPr="00A66AAA">
        <w:rPr>
          <w:lang w:val="es-CL"/>
        </w:rPr>
        <w:t>Se ha</w:t>
      </w:r>
      <w:r w:rsidR="007815D3" w:rsidRPr="00A66AAA">
        <w:rPr>
          <w:lang w:val="es-CL"/>
        </w:rPr>
        <w:t xml:space="preserve"> planteado la </w:t>
      </w:r>
      <w:r w:rsidR="00887212">
        <w:rPr>
          <w:lang w:val="es-CL"/>
        </w:rPr>
        <w:t xml:space="preserve">consulta </w:t>
      </w:r>
      <w:r w:rsidR="007815D3" w:rsidRPr="00A66AAA">
        <w:rPr>
          <w:lang w:val="es-CL"/>
        </w:rPr>
        <w:t xml:space="preserve"> de si un abogado integrante puede ejercer como árbitro en ese período (que refiere el artículo 67 citado)</w:t>
      </w:r>
      <w:r w:rsidR="0093544C" w:rsidRPr="00A66AAA">
        <w:rPr>
          <w:lang w:val="es-CL"/>
        </w:rPr>
        <w:t xml:space="preserve">, en el entendido </w:t>
      </w:r>
      <w:r w:rsidR="00A66AAA" w:rsidRPr="00A66AAA">
        <w:rPr>
          <w:lang w:val="es-CL"/>
        </w:rPr>
        <w:t>que podría</w:t>
      </w:r>
      <w:r w:rsidR="0093544C" w:rsidRPr="00A66AAA">
        <w:rPr>
          <w:lang w:val="es-CL"/>
        </w:rPr>
        <w:t xml:space="preserve"> entenderse que </w:t>
      </w:r>
      <w:r w:rsidR="007815D3" w:rsidRPr="00A66AAA">
        <w:rPr>
          <w:rFonts w:cs="Calibri"/>
          <w:lang w:val="es-CL"/>
        </w:rPr>
        <w:t>un árbitro “representa” intereses</w:t>
      </w:r>
      <w:r w:rsidR="003658F4" w:rsidRPr="00A66AAA">
        <w:rPr>
          <w:rFonts w:cs="Calibri"/>
          <w:lang w:val="es-CL"/>
        </w:rPr>
        <w:t xml:space="preserve"> y que </w:t>
      </w:r>
      <w:r w:rsidR="007815D3" w:rsidRPr="00A66AAA">
        <w:rPr>
          <w:lang w:val="es-CL"/>
        </w:rPr>
        <w:t xml:space="preserve">ello podría ocurrir en el caso de árbitros designados por una o ambas partes.  </w:t>
      </w:r>
    </w:p>
    <w:p w14:paraId="78A10F1D" w14:textId="77777777" w:rsidR="003658F4" w:rsidRPr="00A66AAA" w:rsidRDefault="003658F4" w:rsidP="003658F4">
      <w:pPr>
        <w:spacing w:after="34"/>
        <w:ind w:left="721" w:firstLine="0"/>
        <w:rPr>
          <w:lang w:val="es-CL"/>
        </w:rPr>
      </w:pPr>
    </w:p>
    <w:p w14:paraId="55CDBDE0" w14:textId="6E3AA824" w:rsidR="001D3347" w:rsidRPr="00A66AAA" w:rsidRDefault="0093544C">
      <w:pPr>
        <w:numPr>
          <w:ilvl w:val="0"/>
          <w:numId w:val="1"/>
        </w:numPr>
        <w:ind w:hanging="360"/>
        <w:rPr>
          <w:lang w:val="es-CL"/>
        </w:rPr>
      </w:pPr>
      <w:r w:rsidRPr="00A66AAA">
        <w:rPr>
          <w:lang w:val="es-CL"/>
        </w:rPr>
        <w:t>Para dar respuesta a la consulta, cabe entender que un árbitro nunca representa intereses particulares, ni siquiera cuando integra un panel arbitral en que ha sido designado po</w:t>
      </w:r>
      <w:r w:rsidR="003658F4" w:rsidRPr="00A66AAA">
        <w:rPr>
          <w:lang w:val="es-CL"/>
        </w:rPr>
        <w:t>r</w:t>
      </w:r>
      <w:r w:rsidRPr="00A66AAA">
        <w:rPr>
          <w:lang w:val="es-CL"/>
        </w:rPr>
        <w:t xml:space="preserve"> una sola de las partes de esa causa.  Sin embargo, ese hecho no lo exonera de ninguno de los deberes de imparcialidad de que debe estar investido todo </w:t>
      </w:r>
      <w:r w:rsidR="00A66AAA" w:rsidRPr="00A66AAA">
        <w:rPr>
          <w:lang w:val="es-CL"/>
        </w:rPr>
        <w:t>juez,</w:t>
      </w:r>
      <w:r w:rsidRPr="00A66AAA">
        <w:rPr>
          <w:lang w:val="es-CL"/>
        </w:rPr>
        <w:t xml:space="preserve"> no pudiendo entenderse que el </w:t>
      </w:r>
      <w:r w:rsidR="00A66AAA" w:rsidRPr="00A66AAA">
        <w:rPr>
          <w:lang w:val="es-CL"/>
        </w:rPr>
        <w:t>árbitro como</w:t>
      </w:r>
      <w:r w:rsidRPr="00A66AAA">
        <w:rPr>
          <w:lang w:val="es-CL"/>
        </w:rPr>
        <w:t xml:space="preserve"> juez accidental sea es un representante de quien lo ha nombrado.  </w:t>
      </w:r>
    </w:p>
    <w:p w14:paraId="50FA1B68" w14:textId="77777777" w:rsidR="003658F4" w:rsidRPr="00A66AAA" w:rsidRDefault="003658F4" w:rsidP="003658F4">
      <w:pPr>
        <w:ind w:left="721" w:firstLine="0"/>
        <w:rPr>
          <w:lang w:val="es-CL"/>
        </w:rPr>
      </w:pPr>
    </w:p>
    <w:p w14:paraId="25FA473D" w14:textId="77777777" w:rsidR="001D3347" w:rsidRPr="00A66AAA" w:rsidRDefault="0093544C" w:rsidP="0093544C">
      <w:pPr>
        <w:spacing w:after="161"/>
        <w:ind w:left="0" w:firstLine="361"/>
        <w:rPr>
          <w:lang w:val="es-CL"/>
        </w:rPr>
      </w:pPr>
      <w:r w:rsidRPr="00A66AAA">
        <w:rPr>
          <w:lang w:val="es-CL"/>
        </w:rPr>
        <w:t>Para dar respuesta a la consulta acerca del periodo de prohibición de ejercicio, cabe tener presente que u</w:t>
      </w:r>
      <w:r w:rsidR="003658F4" w:rsidRPr="00A66AAA">
        <w:rPr>
          <w:lang w:val="es-CL"/>
        </w:rPr>
        <w:t>n árbitro, como un abogado integrante, no forman parte permanente de un tribunal, ya sea ordinario o especial, y sólo son llamados accidentalmente a conocer de asuntos específicos.</w:t>
      </w:r>
    </w:p>
    <w:p w14:paraId="0D8BBC91" w14:textId="4200D89A" w:rsidR="003658F4" w:rsidRPr="00A66AAA" w:rsidRDefault="003658F4" w:rsidP="0093544C">
      <w:pPr>
        <w:spacing w:after="161"/>
        <w:ind w:left="0" w:firstLine="361"/>
        <w:rPr>
          <w:lang w:val="es-CL"/>
        </w:rPr>
      </w:pPr>
      <w:r w:rsidRPr="00A66AAA">
        <w:rPr>
          <w:lang w:val="es-CL"/>
        </w:rPr>
        <w:t xml:space="preserve">Como tal, entendemos que tanto el abogado integrante como el </w:t>
      </w:r>
      <w:r w:rsidR="00A66AAA" w:rsidRPr="00A66AAA">
        <w:rPr>
          <w:lang w:val="es-CL"/>
        </w:rPr>
        <w:t>árbitro</w:t>
      </w:r>
      <w:r w:rsidRPr="00A66AAA">
        <w:rPr>
          <w:lang w:val="es-CL"/>
        </w:rPr>
        <w:t xml:space="preserve">, no ejercen funciones jurisdiccionales en forma permanente y no se encuentra por ello impedido de ejercer la profesión, ya sea </w:t>
      </w:r>
      <w:r w:rsidR="00A66AAA" w:rsidRPr="00A66AAA">
        <w:rPr>
          <w:lang w:val="es-CL"/>
        </w:rPr>
        <w:t>durante</w:t>
      </w:r>
      <w:r w:rsidRPr="00A66AAA">
        <w:rPr>
          <w:lang w:val="es-CL"/>
        </w:rPr>
        <w:t xml:space="preserve"> el periodo en que hubiere sido accidentalmente llamado o nominado para intervenir en un asunto</w:t>
      </w:r>
      <w:r w:rsidR="00F45596" w:rsidRPr="00A66AAA">
        <w:rPr>
          <w:lang w:val="es-CL"/>
        </w:rPr>
        <w:t xml:space="preserve"> específico</w:t>
      </w:r>
      <w:r w:rsidRPr="00A66AAA">
        <w:rPr>
          <w:lang w:val="es-CL"/>
        </w:rPr>
        <w:t xml:space="preserve">, como con posterioridad a </w:t>
      </w:r>
      <w:r w:rsidR="00EC0B0F" w:rsidRPr="00A66AAA">
        <w:rPr>
          <w:lang w:val="es-CL"/>
        </w:rPr>
        <w:t xml:space="preserve">su desempeño </w:t>
      </w:r>
      <w:r w:rsidR="00F45596" w:rsidRPr="00A66AAA">
        <w:rPr>
          <w:lang w:val="es-CL"/>
        </w:rPr>
        <w:t xml:space="preserve">del cargo y respecto de </w:t>
      </w:r>
      <w:r w:rsidR="00EC0B0F" w:rsidRPr="00A66AAA">
        <w:rPr>
          <w:lang w:val="es-CL"/>
        </w:rPr>
        <w:t>un determinado asunto.</w:t>
      </w:r>
    </w:p>
    <w:p w14:paraId="44CDAC24" w14:textId="5D3F47F5" w:rsidR="00EC0B0F" w:rsidRPr="00A66AAA" w:rsidRDefault="00EC0B0F" w:rsidP="00F45596">
      <w:pPr>
        <w:spacing w:after="161"/>
        <w:ind w:left="0" w:firstLine="361"/>
        <w:rPr>
          <w:lang w:val="es-CL"/>
        </w:rPr>
      </w:pPr>
      <w:r w:rsidRPr="00A66AAA">
        <w:rPr>
          <w:lang w:val="es-CL"/>
        </w:rPr>
        <w:t xml:space="preserve">Sin embargo, tanto el abogado integrante como el </w:t>
      </w:r>
      <w:r w:rsidR="00A66AAA" w:rsidRPr="00A66AAA">
        <w:rPr>
          <w:lang w:val="es-CL"/>
        </w:rPr>
        <w:t>árbitro</w:t>
      </w:r>
      <w:r w:rsidRPr="00A66AAA">
        <w:rPr>
          <w:lang w:val="es-CL"/>
        </w:rPr>
        <w:t xml:space="preserve"> pueden verse afectados por </w:t>
      </w:r>
      <w:r w:rsidR="00F45596" w:rsidRPr="00A66AAA">
        <w:rPr>
          <w:lang w:val="es-CL"/>
        </w:rPr>
        <w:t xml:space="preserve">un </w:t>
      </w:r>
      <w:r w:rsidR="00A66AAA" w:rsidRPr="00A66AAA">
        <w:rPr>
          <w:lang w:val="es-CL"/>
        </w:rPr>
        <w:t>conflicto</w:t>
      </w:r>
      <w:r w:rsidRPr="00A66AAA">
        <w:rPr>
          <w:lang w:val="es-CL"/>
        </w:rPr>
        <w:t xml:space="preserve"> de </w:t>
      </w:r>
      <w:r w:rsidR="00A66AAA" w:rsidRPr="00A66AAA">
        <w:rPr>
          <w:lang w:val="es-CL"/>
        </w:rPr>
        <w:t>interés</w:t>
      </w:r>
      <w:r w:rsidRPr="00A66AAA">
        <w:rPr>
          <w:lang w:val="es-CL"/>
        </w:rPr>
        <w:t xml:space="preserve"> que le impida ejercer las funciones </w:t>
      </w:r>
      <w:r w:rsidR="00F45596" w:rsidRPr="00A66AAA">
        <w:rPr>
          <w:lang w:val="es-CL"/>
        </w:rPr>
        <w:t xml:space="preserve">en un asunto </w:t>
      </w:r>
      <w:r w:rsidRPr="00A66AAA">
        <w:rPr>
          <w:lang w:val="es-CL"/>
        </w:rPr>
        <w:t>para cuyo desempeño sean accidentalmente llamados.</w:t>
      </w:r>
    </w:p>
    <w:p w14:paraId="2151B407" w14:textId="5B24AE6C" w:rsidR="00EC0B0F" w:rsidRPr="00A66AAA" w:rsidRDefault="00EC0B0F" w:rsidP="00F45596">
      <w:pPr>
        <w:spacing w:after="161"/>
        <w:ind w:left="0" w:firstLine="361"/>
        <w:rPr>
          <w:lang w:val="es-CL"/>
        </w:rPr>
      </w:pPr>
      <w:r w:rsidRPr="00A66AAA">
        <w:rPr>
          <w:lang w:val="es-CL"/>
        </w:rPr>
        <w:t xml:space="preserve">Debemos hacer presente que, tanto de acuerdo con el Código de </w:t>
      </w:r>
      <w:r w:rsidR="00A66AAA" w:rsidRPr="00A66AAA">
        <w:rPr>
          <w:lang w:val="es-CL"/>
        </w:rPr>
        <w:t>Ética</w:t>
      </w:r>
      <w:r w:rsidRPr="00A66AAA">
        <w:rPr>
          <w:lang w:val="es-CL"/>
        </w:rPr>
        <w:t xml:space="preserve">, como en regulaciones nacionales e internacionales del arbitraje, los conflictos de intereses deben ser revelados e impiden conforme con su gravedad que un abogado pueda desempeñar funciones de </w:t>
      </w:r>
      <w:r w:rsidR="00A66AAA" w:rsidRPr="00A66AAA">
        <w:rPr>
          <w:lang w:val="es-CL"/>
        </w:rPr>
        <w:t>carácter</w:t>
      </w:r>
      <w:r w:rsidRPr="00A66AAA">
        <w:rPr>
          <w:lang w:val="es-CL"/>
        </w:rPr>
        <w:t xml:space="preserve"> jurisdiccional.</w:t>
      </w:r>
    </w:p>
    <w:p w14:paraId="567426F1" w14:textId="5B80B259" w:rsidR="00EC0B0F" w:rsidRPr="00A66AAA" w:rsidRDefault="00EC0B0F" w:rsidP="00F45596">
      <w:pPr>
        <w:spacing w:after="161"/>
        <w:ind w:left="0" w:firstLine="361"/>
        <w:rPr>
          <w:lang w:val="es-CL"/>
        </w:rPr>
      </w:pPr>
      <w:r w:rsidRPr="00A66AAA">
        <w:rPr>
          <w:lang w:val="es-CL"/>
        </w:rPr>
        <w:t xml:space="preserve">Este conflicto de </w:t>
      </w:r>
      <w:r w:rsidR="00A66AAA" w:rsidRPr="00A66AAA">
        <w:rPr>
          <w:lang w:val="es-CL"/>
        </w:rPr>
        <w:t>interés</w:t>
      </w:r>
      <w:r w:rsidRPr="00A66AAA">
        <w:rPr>
          <w:lang w:val="es-CL"/>
        </w:rPr>
        <w:t xml:space="preserve"> que se presenta puede ser anterior o sobreviniente, teniendo algunos de ellos el </w:t>
      </w:r>
      <w:r w:rsidR="00A66AAA" w:rsidRPr="00A66AAA">
        <w:rPr>
          <w:lang w:val="es-CL"/>
        </w:rPr>
        <w:t>carácter</w:t>
      </w:r>
      <w:r w:rsidRPr="00A66AAA">
        <w:rPr>
          <w:lang w:val="es-CL"/>
        </w:rPr>
        <w:t xml:space="preserve"> de indisponibles.</w:t>
      </w:r>
    </w:p>
    <w:p w14:paraId="4106C072" w14:textId="77777777" w:rsidR="00EC0B0F" w:rsidRPr="00A66AAA" w:rsidRDefault="00EC0B0F" w:rsidP="003658F4">
      <w:pPr>
        <w:spacing w:after="161"/>
        <w:ind w:left="0" w:firstLine="0"/>
        <w:rPr>
          <w:lang w:val="es-CL"/>
        </w:rPr>
      </w:pPr>
    </w:p>
    <w:p w14:paraId="3B11A789" w14:textId="71545DB3" w:rsidR="00F45596" w:rsidRPr="00A66AAA" w:rsidRDefault="00EC0B0F" w:rsidP="00830C7E">
      <w:pPr>
        <w:spacing w:after="161"/>
        <w:ind w:left="0" w:firstLine="361"/>
        <w:rPr>
          <w:lang w:val="es-CL"/>
        </w:rPr>
      </w:pPr>
      <w:r w:rsidRPr="00A66AAA">
        <w:rPr>
          <w:lang w:val="es-CL"/>
        </w:rPr>
        <w:t xml:space="preserve">Nuestro Código de </w:t>
      </w:r>
      <w:r w:rsidR="00A66AAA" w:rsidRPr="00A66AAA">
        <w:rPr>
          <w:lang w:val="es-CL"/>
        </w:rPr>
        <w:t>Ética</w:t>
      </w:r>
      <w:r w:rsidRPr="00A66AAA">
        <w:rPr>
          <w:lang w:val="es-CL"/>
        </w:rPr>
        <w:t xml:space="preserve"> regula la dispensa del conflicto de intereses como el procedimiento para declaración de inhabilidad., lo cual es sin perjuicio de la regulación que podemos </w:t>
      </w:r>
      <w:r w:rsidR="00A66AAA" w:rsidRPr="00A66AAA">
        <w:rPr>
          <w:lang w:val="es-CL"/>
        </w:rPr>
        <w:t>encontrar</w:t>
      </w:r>
      <w:r w:rsidRPr="00A66AAA">
        <w:rPr>
          <w:lang w:val="es-CL"/>
        </w:rPr>
        <w:t xml:space="preserve"> en arbitrajes internacionales y del arbitraje institucional.</w:t>
      </w:r>
    </w:p>
    <w:p w14:paraId="2F550F9B" w14:textId="3E6B5C06" w:rsidR="00F45596" w:rsidRPr="00A66AAA" w:rsidRDefault="00F45596" w:rsidP="00F45596">
      <w:pPr>
        <w:spacing w:after="161"/>
        <w:ind w:left="0" w:firstLine="361"/>
        <w:rPr>
          <w:lang w:val="es-CL"/>
        </w:rPr>
      </w:pPr>
      <w:r w:rsidRPr="00A66AAA">
        <w:rPr>
          <w:lang w:val="es-CL"/>
        </w:rPr>
        <w:t xml:space="preserve">Para evitar, en la mayor medida posible, la concurrencia de conflictos de </w:t>
      </w:r>
      <w:r w:rsidR="00A66AAA" w:rsidRPr="00A66AAA">
        <w:rPr>
          <w:lang w:val="es-CL"/>
        </w:rPr>
        <w:t>interés</w:t>
      </w:r>
      <w:r w:rsidRPr="00A66AAA">
        <w:rPr>
          <w:lang w:val="es-CL"/>
        </w:rPr>
        <w:t xml:space="preserve">, en el derecho comparado se tiende a no contemplar la figura de abogados integrantes y por otra parte, se tiende a exigir la </w:t>
      </w:r>
      <w:r w:rsidR="00A66AAA" w:rsidRPr="00A66AAA">
        <w:rPr>
          <w:lang w:val="es-CL"/>
        </w:rPr>
        <w:t>dedicación</w:t>
      </w:r>
      <w:r w:rsidRPr="00A66AAA">
        <w:rPr>
          <w:lang w:val="es-CL"/>
        </w:rPr>
        <w:t xml:space="preserve"> exclusiva al desempeño de la función de arbitro.</w:t>
      </w:r>
    </w:p>
    <w:p w14:paraId="6D44892B" w14:textId="2786BE60" w:rsidR="00EC0B0F" w:rsidRPr="00A66AAA" w:rsidRDefault="00EC0B0F" w:rsidP="00F45596">
      <w:pPr>
        <w:spacing w:after="161"/>
        <w:ind w:left="0" w:firstLine="361"/>
        <w:rPr>
          <w:lang w:val="es-CL"/>
        </w:rPr>
      </w:pPr>
      <w:r w:rsidRPr="00A66AAA">
        <w:rPr>
          <w:lang w:val="es-CL"/>
        </w:rPr>
        <w:t>De acuerdo con lo anterior, podemos informar</w:t>
      </w:r>
      <w:r w:rsidR="00F45596" w:rsidRPr="00A66AAA">
        <w:rPr>
          <w:lang w:val="es-CL"/>
        </w:rPr>
        <w:t xml:space="preserve"> </w:t>
      </w:r>
      <w:r w:rsidR="00D32D57">
        <w:rPr>
          <w:lang w:val="es-CL"/>
        </w:rPr>
        <w:t xml:space="preserve">que </w:t>
      </w:r>
      <w:r w:rsidR="00F45596" w:rsidRPr="00A66AAA">
        <w:rPr>
          <w:lang w:val="es-CL"/>
        </w:rPr>
        <w:t>en nuestro país</w:t>
      </w:r>
      <w:r w:rsidRPr="00A66AAA">
        <w:rPr>
          <w:lang w:val="es-CL"/>
        </w:rPr>
        <w:t>:</w:t>
      </w:r>
    </w:p>
    <w:p w14:paraId="794F2AFB" w14:textId="1F003544" w:rsidR="00EC0B0F" w:rsidRDefault="0093544C" w:rsidP="003658F4">
      <w:pPr>
        <w:spacing w:after="161"/>
        <w:ind w:left="0" w:firstLine="0"/>
        <w:rPr>
          <w:lang w:val="es-CL"/>
        </w:rPr>
      </w:pPr>
      <w:r w:rsidRPr="00A66AAA">
        <w:rPr>
          <w:lang w:val="es-CL"/>
        </w:rPr>
        <w:t xml:space="preserve">1°. Los abogados integrantes, como los </w:t>
      </w:r>
      <w:r w:rsidR="00A66AAA" w:rsidRPr="00A66AAA">
        <w:rPr>
          <w:lang w:val="es-CL"/>
        </w:rPr>
        <w:t>árbitros</w:t>
      </w:r>
      <w:r w:rsidRPr="00A66AAA">
        <w:rPr>
          <w:lang w:val="es-CL"/>
        </w:rPr>
        <w:t xml:space="preserve">, no tienen prohibición </w:t>
      </w:r>
      <w:r w:rsidR="0016709E">
        <w:rPr>
          <w:lang w:val="es-CL"/>
        </w:rPr>
        <w:t xml:space="preserve">legal </w:t>
      </w:r>
      <w:r w:rsidRPr="00A66AAA">
        <w:rPr>
          <w:lang w:val="es-CL"/>
        </w:rPr>
        <w:t xml:space="preserve">de ejercer la </w:t>
      </w:r>
      <w:r w:rsidR="00A66AAA" w:rsidRPr="00A66AAA">
        <w:rPr>
          <w:lang w:val="es-CL"/>
        </w:rPr>
        <w:t>profesión</w:t>
      </w:r>
      <w:r w:rsidRPr="00A66AAA">
        <w:rPr>
          <w:lang w:val="es-CL"/>
        </w:rPr>
        <w:t>, ya sea durante el desempeño del cargo como dentro de los dos años posteriores en que lo hubieren ejercido.</w:t>
      </w:r>
    </w:p>
    <w:p w14:paraId="7432DDD5" w14:textId="513B9ED2" w:rsidR="0016709E" w:rsidRPr="00A66AAA" w:rsidRDefault="0016709E" w:rsidP="003658F4">
      <w:pPr>
        <w:spacing w:after="161"/>
        <w:ind w:left="0" w:firstLine="0"/>
        <w:rPr>
          <w:lang w:val="es-CL"/>
        </w:rPr>
      </w:pPr>
      <w:r>
        <w:rPr>
          <w:lang w:val="es-CL"/>
        </w:rPr>
        <w:t>Las inhabilidades establecidas en la ley primarán sobre las establecidas en este Código de Ética  si ellas tuvieren un plazo de diferente duración.</w:t>
      </w:r>
    </w:p>
    <w:p w14:paraId="6D30E2D5" w14:textId="6F8A3532" w:rsidR="0093544C" w:rsidRPr="00A66AAA" w:rsidRDefault="0093544C" w:rsidP="003658F4">
      <w:pPr>
        <w:spacing w:after="161"/>
        <w:ind w:left="0" w:firstLine="0"/>
        <w:rPr>
          <w:lang w:val="es-CL"/>
        </w:rPr>
      </w:pPr>
      <w:r w:rsidRPr="00A66AAA">
        <w:rPr>
          <w:lang w:val="es-CL"/>
        </w:rPr>
        <w:t xml:space="preserve">2°. Sin perjuicio de lo anterior, tanto los abogados integrantes como los </w:t>
      </w:r>
      <w:r w:rsidR="00A66AAA" w:rsidRPr="00A66AAA">
        <w:rPr>
          <w:lang w:val="es-CL"/>
        </w:rPr>
        <w:t>árbitros</w:t>
      </w:r>
      <w:r w:rsidRPr="00A66AAA">
        <w:rPr>
          <w:lang w:val="es-CL"/>
        </w:rPr>
        <w:t xml:space="preserve"> deben abstenerse de actuar en caso de presentarse conflictos de </w:t>
      </w:r>
      <w:r w:rsidR="00A66AAA" w:rsidRPr="00A66AAA">
        <w:rPr>
          <w:lang w:val="es-CL"/>
        </w:rPr>
        <w:t>interés</w:t>
      </w:r>
      <w:r w:rsidRPr="00A66AAA">
        <w:rPr>
          <w:lang w:val="es-CL"/>
        </w:rPr>
        <w:t xml:space="preserve">, los que siempre deben revelar y abstenerse de actuar </w:t>
      </w:r>
      <w:r w:rsidR="00A66AAA" w:rsidRPr="00A66AAA">
        <w:rPr>
          <w:lang w:val="es-CL"/>
        </w:rPr>
        <w:t>según</w:t>
      </w:r>
      <w:r w:rsidRPr="00A66AAA">
        <w:rPr>
          <w:lang w:val="es-CL"/>
        </w:rPr>
        <w:t xml:space="preserve"> su gravedad en un </w:t>
      </w:r>
      <w:r w:rsidR="00F45596" w:rsidRPr="00A66AAA">
        <w:rPr>
          <w:lang w:val="es-CL"/>
        </w:rPr>
        <w:t xml:space="preserve">determinado </w:t>
      </w:r>
      <w:r w:rsidRPr="00A66AAA">
        <w:rPr>
          <w:lang w:val="es-CL"/>
        </w:rPr>
        <w:t xml:space="preserve">asunto, a menos que sean dispensados por las partes en los casos y conforme al procedimiento previsto en el </w:t>
      </w:r>
      <w:r w:rsidR="00F45596" w:rsidRPr="00A66AAA">
        <w:rPr>
          <w:lang w:val="es-CL"/>
        </w:rPr>
        <w:t xml:space="preserve">Título V del </w:t>
      </w:r>
      <w:r w:rsidRPr="00A66AAA">
        <w:rPr>
          <w:lang w:val="es-CL"/>
        </w:rPr>
        <w:t xml:space="preserve">Código de </w:t>
      </w:r>
      <w:r w:rsidR="00A66AAA" w:rsidRPr="00A66AAA">
        <w:rPr>
          <w:lang w:val="es-CL"/>
        </w:rPr>
        <w:t>Ética</w:t>
      </w:r>
      <w:r w:rsidRPr="00A66AAA">
        <w:rPr>
          <w:lang w:val="es-CL"/>
        </w:rPr>
        <w:t xml:space="preserve"> o en las reglamentaciones </w:t>
      </w:r>
      <w:r w:rsidR="00A66AAA" w:rsidRPr="00A66AAA">
        <w:rPr>
          <w:lang w:val="es-CL"/>
        </w:rPr>
        <w:t>más</w:t>
      </w:r>
      <w:r w:rsidRPr="00A66AAA">
        <w:rPr>
          <w:lang w:val="es-CL"/>
        </w:rPr>
        <w:t xml:space="preserve"> especiales </w:t>
      </w:r>
      <w:r w:rsidR="00A66AAA" w:rsidRPr="00A66AAA">
        <w:rPr>
          <w:lang w:val="es-CL"/>
        </w:rPr>
        <w:t>contempladas</w:t>
      </w:r>
      <w:r w:rsidRPr="00A66AAA">
        <w:rPr>
          <w:lang w:val="es-CL"/>
        </w:rPr>
        <w:t xml:space="preserve"> en arbitrajes internacionales e institucionales</w:t>
      </w:r>
      <w:r w:rsidR="00F45596" w:rsidRPr="00A66AAA">
        <w:rPr>
          <w:lang w:val="es-CL"/>
        </w:rPr>
        <w:t xml:space="preserve"> nacionales</w:t>
      </w:r>
      <w:r w:rsidRPr="00A66AAA">
        <w:rPr>
          <w:lang w:val="es-CL"/>
        </w:rPr>
        <w:t>.</w:t>
      </w:r>
    </w:p>
    <w:p w14:paraId="077AE4C4" w14:textId="77777777" w:rsidR="00EC0B0F" w:rsidRPr="00A66AAA" w:rsidRDefault="00EC0B0F" w:rsidP="00A66AAA">
      <w:pPr>
        <w:spacing w:after="0"/>
        <w:ind w:left="0" w:firstLine="0"/>
        <w:rPr>
          <w:lang w:val="es-CL"/>
        </w:rPr>
      </w:pPr>
    </w:p>
    <w:p w14:paraId="10A6EF86" w14:textId="7A251B9F" w:rsidR="001D3347" w:rsidRDefault="00A66AAA" w:rsidP="00A66AAA">
      <w:pPr>
        <w:spacing w:after="0"/>
        <w:ind w:left="0" w:firstLine="0"/>
        <w:jc w:val="left"/>
        <w:rPr>
          <w:lang w:val="es-CL"/>
        </w:rPr>
      </w:pPr>
      <w:r>
        <w:rPr>
          <w:lang w:val="es-CL"/>
        </w:rPr>
        <w:tab/>
      </w:r>
      <w:r>
        <w:rPr>
          <w:lang w:val="es-CL"/>
        </w:rPr>
        <w:tab/>
      </w:r>
      <w:r>
        <w:rPr>
          <w:lang w:val="es-CL"/>
        </w:rPr>
        <w:tab/>
      </w:r>
      <w:r>
        <w:rPr>
          <w:lang w:val="es-CL"/>
        </w:rPr>
        <w:tab/>
      </w:r>
      <w:r>
        <w:rPr>
          <w:lang w:val="es-CL"/>
        </w:rPr>
        <w:tab/>
      </w:r>
      <w:r>
        <w:rPr>
          <w:lang w:val="es-CL"/>
        </w:rPr>
        <w:tab/>
        <w:t>Presidentes</w:t>
      </w:r>
    </w:p>
    <w:p w14:paraId="5C58191E" w14:textId="20B6D13F" w:rsidR="00A66AAA" w:rsidRDefault="00A66AAA" w:rsidP="00A66AAA">
      <w:pPr>
        <w:spacing w:after="0"/>
        <w:ind w:left="0" w:firstLine="0"/>
        <w:jc w:val="left"/>
        <w:rPr>
          <w:lang w:val="es-CL"/>
        </w:rPr>
      </w:pPr>
      <w:r>
        <w:rPr>
          <w:lang w:val="es-CL"/>
        </w:rPr>
        <w:tab/>
      </w:r>
      <w:r>
        <w:rPr>
          <w:lang w:val="es-CL"/>
        </w:rPr>
        <w:tab/>
      </w:r>
      <w:r>
        <w:rPr>
          <w:lang w:val="es-CL"/>
        </w:rPr>
        <w:tab/>
      </w:r>
      <w:r>
        <w:rPr>
          <w:lang w:val="es-CL"/>
        </w:rPr>
        <w:tab/>
      </w:r>
      <w:r>
        <w:rPr>
          <w:lang w:val="es-CL"/>
        </w:rPr>
        <w:tab/>
        <w:t xml:space="preserve">        Comisión de Ética</w:t>
      </w:r>
    </w:p>
    <w:p w14:paraId="53494377" w14:textId="7127F028" w:rsidR="00A66AAA" w:rsidRPr="00A66AAA" w:rsidRDefault="00A66AAA" w:rsidP="00A66AAA">
      <w:pPr>
        <w:spacing w:after="0"/>
        <w:ind w:left="0" w:firstLine="0"/>
        <w:jc w:val="left"/>
        <w:rPr>
          <w:lang w:val="es-CL"/>
        </w:rPr>
      </w:pPr>
      <w:r>
        <w:rPr>
          <w:lang w:val="es-CL"/>
        </w:rPr>
        <w:tab/>
      </w:r>
      <w:r>
        <w:rPr>
          <w:lang w:val="es-CL"/>
        </w:rPr>
        <w:tab/>
      </w:r>
      <w:r>
        <w:rPr>
          <w:lang w:val="es-CL"/>
        </w:rPr>
        <w:tab/>
      </w:r>
      <w:r>
        <w:rPr>
          <w:lang w:val="es-CL"/>
        </w:rPr>
        <w:tab/>
      </w:r>
      <w:r>
        <w:rPr>
          <w:lang w:val="es-CL"/>
        </w:rPr>
        <w:tab/>
        <w:t>Colegio de Abogados de Chile</w:t>
      </w:r>
    </w:p>
    <w:p w14:paraId="6F3FA39F" w14:textId="77777777" w:rsidR="001D3347" w:rsidRDefault="007815D3">
      <w:pPr>
        <w:spacing w:after="0"/>
        <w:ind w:left="0" w:firstLine="0"/>
        <w:jc w:val="left"/>
        <w:rPr>
          <w:lang w:val="es-CL"/>
        </w:rPr>
      </w:pPr>
      <w:r w:rsidRPr="00A66AAA">
        <w:rPr>
          <w:lang w:val="es-CL"/>
        </w:rPr>
        <w:t xml:space="preserve">  </w:t>
      </w:r>
    </w:p>
    <w:p w14:paraId="0EA35665" w14:textId="35F7854C" w:rsidR="00744769" w:rsidRPr="00A66AAA" w:rsidRDefault="002C158C">
      <w:pPr>
        <w:spacing w:after="0"/>
        <w:ind w:left="0" w:firstLine="0"/>
        <w:jc w:val="left"/>
        <w:rPr>
          <w:lang w:val="es-CL"/>
        </w:rPr>
      </w:pPr>
      <w:r>
        <w:rPr>
          <w:lang w:val="es-CL"/>
        </w:rPr>
        <w:t>Repuesta de la Comisión de Ética, aprobada en Sesión de Consejo de fecha 22 de abril 2024.-</w:t>
      </w:r>
    </w:p>
    <w:sectPr w:rsidR="00744769" w:rsidRPr="00A66AAA">
      <w:headerReference w:type="default" r:id="rId7"/>
      <w:pgSz w:w="11905" w:h="16840"/>
      <w:pgMar w:top="1440" w:right="1431" w:bottom="1440" w:left="144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BD0B99" w14:textId="77777777" w:rsidR="00D146B2" w:rsidRDefault="00D146B2" w:rsidP="00A66AAA">
      <w:pPr>
        <w:spacing w:after="0" w:line="240" w:lineRule="auto"/>
      </w:pPr>
      <w:r>
        <w:separator/>
      </w:r>
    </w:p>
  </w:endnote>
  <w:endnote w:type="continuationSeparator" w:id="0">
    <w:p w14:paraId="74388322" w14:textId="77777777" w:rsidR="00D146B2" w:rsidRDefault="00D146B2" w:rsidP="00A66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0EB7CA" w14:textId="77777777" w:rsidR="00D146B2" w:rsidRDefault="00D146B2" w:rsidP="00A66AAA">
      <w:pPr>
        <w:spacing w:after="0" w:line="240" w:lineRule="auto"/>
      </w:pPr>
      <w:r>
        <w:separator/>
      </w:r>
    </w:p>
  </w:footnote>
  <w:footnote w:type="continuationSeparator" w:id="0">
    <w:p w14:paraId="6C2A610E" w14:textId="77777777" w:rsidR="00D146B2" w:rsidRDefault="00D146B2" w:rsidP="00A66A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48999B" w14:textId="3B86F723" w:rsidR="00A66AAA" w:rsidRDefault="00A66AAA">
    <w:pPr>
      <w:pStyle w:val="Encabezado"/>
    </w:pPr>
    <w:r>
      <w:rPr>
        <w:noProof/>
      </w:rPr>
      <w:drawing>
        <wp:inline distT="0" distB="0" distL="0" distR="0" wp14:anchorId="43C3CAF0" wp14:editId="3115EBF1">
          <wp:extent cx="3168396" cy="900684"/>
          <wp:effectExtent l="0" t="0" r="0" b="0"/>
          <wp:docPr id="1309688349" name="Imagen 1" descr="Interfaz de usuario gráfic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9688349" name="Imagen 1" descr="Interfaz de usuario gráfica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8396" cy="900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2BD0F3" w14:textId="77777777" w:rsidR="00A66AAA" w:rsidRDefault="00A66AA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A22F80"/>
    <w:multiLevelType w:val="hybridMultilevel"/>
    <w:tmpl w:val="0916FBE2"/>
    <w:lvl w:ilvl="0" w:tplc="CE1219D2">
      <w:start w:val="1"/>
      <w:numFmt w:val="decimal"/>
      <w:lvlText w:val="%1)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207DFE">
      <w:start w:val="1"/>
      <w:numFmt w:val="lowerLetter"/>
      <w:lvlText w:val="%2"/>
      <w:lvlJc w:val="left"/>
      <w:pPr>
        <w:ind w:left="1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048E32">
      <w:start w:val="1"/>
      <w:numFmt w:val="lowerRoman"/>
      <w:lvlText w:val="%3"/>
      <w:lvlJc w:val="left"/>
      <w:pPr>
        <w:ind w:left="2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F22CB0">
      <w:start w:val="1"/>
      <w:numFmt w:val="decimal"/>
      <w:lvlText w:val="%4"/>
      <w:lvlJc w:val="left"/>
      <w:pPr>
        <w:ind w:left="2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46A8A0">
      <w:start w:val="1"/>
      <w:numFmt w:val="lowerLetter"/>
      <w:lvlText w:val="%5"/>
      <w:lvlJc w:val="left"/>
      <w:pPr>
        <w:ind w:left="3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B6E6AE">
      <w:start w:val="1"/>
      <w:numFmt w:val="lowerRoman"/>
      <w:lvlText w:val="%6"/>
      <w:lvlJc w:val="left"/>
      <w:pPr>
        <w:ind w:left="4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068262">
      <w:start w:val="1"/>
      <w:numFmt w:val="decimal"/>
      <w:lvlText w:val="%7"/>
      <w:lvlJc w:val="left"/>
      <w:pPr>
        <w:ind w:left="5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063EDA">
      <w:start w:val="1"/>
      <w:numFmt w:val="lowerLetter"/>
      <w:lvlText w:val="%8"/>
      <w:lvlJc w:val="left"/>
      <w:pPr>
        <w:ind w:left="5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D84DE6">
      <w:start w:val="1"/>
      <w:numFmt w:val="lowerRoman"/>
      <w:lvlText w:val="%9"/>
      <w:lvlJc w:val="left"/>
      <w:pPr>
        <w:ind w:left="6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42164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347"/>
    <w:rsid w:val="0016709E"/>
    <w:rsid w:val="001D3347"/>
    <w:rsid w:val="002C158C"/>
    <w:rsid w:val="003658F4"/>
    <w:rsid w:val="003F30FB"/>
    <w:rsid w:val="0074162D"/>
    <w:rsid w:val="00744769"/>
    <w:rsid w:val="007815D3"/>
    <w:rsid w:val="00830C7E"/>
    <w:rsid w:val="00887212"/>
    <w:rsid w:val="0093544C"/>
    <w:rsid w:val="009A3CC3"/>
    <w:rsid w:val="00A66AAA"/>
    <w:rsid w:val="00D146B2"/>
    <w:rsid w:val="00D32D57"/>
    <w:rsid w:val="00E70FA1"/>
    <w:rsid w:val="00EC0B0F"/>
    <w:rsid w:val="00F4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4CCA3D"/>
  <w15:docId w15:val="{4DA6F555-D485-C742-9935-AEB4AB319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MX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  <w:ind w:left="10" w:hanging="10"/>
      <w:jc w:val="both"/>
    </w:pPr>
    <w:rPr>
      <w:rFonts w:ascii="Calibri" w:eastAsia="Calibri" w:hAnsi="Calibri" w:cs="Times New Roman"/>
      <w:color w:val="000000"/>
      <w:sz w:val="22"/>
      <w:lang w:val="en" w:eastAsia="e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658F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66A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6AAA"/>
    <w:rPr>
      <w:rFonts w:ascii="Calibri" w:eastAsia="Calibri" w:hAnsi="Calibri" w:cs="Times New Roman"/>
      <w:color w:val="000000"/>
      <w:sz w:val="22"/>
      <w:lang w:val="en" w:eastAsia="en"/>
    </w:rPr>
  </w:style>
  <w:style w:type="paragraph" w:styleId="Piedepgina">
    <w:name w:val="footer"/>
    <w:basedOn w:val="Normal"/>
    <w:link w:val="PiedepginaCar"/>
    <w:uiPriority w:val="99"/>
    <w:unhideWhenUsed/>
    <w:rsid w:val="00A66A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6AAA"/>
    <w:rPr>
      <w:rFonts w:ascii="Calibri" w:eastAsia="Calibri" w:hAnsi="Calibri" w:cs="Times New Roman"/>
      <w:color w:val="000000"/>
      <w:sz w:val="22"/>
      <w:lang w:val="en" w:eastAsia="en"/>
    </w:rPr>
  </w:style>
  <w:style w:type="paragraph" w:styleId="Revisin">
    <w:name w:val="Revision"/>
    <w:hidden/>
    <w:uiPriority w:val="99"/>
    <w:semiHidden/>
    <w:rsid w:val="0016709E"/>
    <w:rPr>
      <w:rFonts w:ascii="Calibri" w:eastAsia="Calibri" w:hAnsi="Calibri" w:cs="Times New Roman"/>
      <w:color w:val="000000"/>
      <w:sz w:val="22"/>
      <w:lang w:val="en" w:eastAsia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Pablo Vergara Varas</dc:creator>
  <cp:keywords/>
  <cp:lastModifiedBy>Ana María Carbone</cp:lastModifiedBy>
  <cp:revision>2</cp:revision>
  <cp:lastPrinted>2024-04-25T15:03:00Z</cp:lastPrinted>
  <dcterms:created xsi:type="dcterms:W3CDTF">2024-04-25T15:05:00Z</dcterms:created>
  <dcterms:modified xsi:type="dcterms:W3CDTF">2024-04-25T15:05:00Z</dcterms:modified>
</cp:coreProperties>
</file>