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498278" w14:textId="77777777" w:rsidR="0015435C" w:rsidRPr="00DE6A3C" w:rsidRDefault="00203BF2">
      <w:pPr>
        <w:spacing w:line="276" w:lineRule="auto"/>
        <w:jc w:val="center"/>
        <w:rPr>
          <w:rFonts w:ascii="Bookman Old Style" w:hAnsi="Bookman Old Style"/>
          <w:b/>
          <w:sz w:val="22"/>
          <w:szCs w:val="22"/>
        </w:rPr>
      </w:pPr>
      <w:r w:rsidRPr="00DE6A3C">
        <w:rPr>
          <w:rFonts w:ascii="Bookman Old Style" w:hAnsi="Bookman Old Style"/>
          <w:b/>
          <w:sz w:val="22"/>
          <w:szCs w:val="22"/>
        </w:rPr>
        <w:t>DECLARACIÓN DEL CONSEJO GENERAL</w:t>
      </w:r>
    </w:p>
    <w:p w14:paraId="459FBB7C" w14:textId="20B1F5B2" w:rsidR="0015435C" w:rsidRPr="00DE6A3C" w:rsidRDefault="00203BF2" w:rsidP="00DE6A3C">
      <w:pPr>
        <w:spacing w:line="276" w:lineRule="auto"/>
        <w:jc w:val="center"/>
        <w:rPr>
          <w:rFonts w:ascii="Bookman Old Style" w:hAnsi="Bookman Old Style"/>
          <w:b/>
          <w:sz w:val="22"/>
          <w:szCs w:val="22"/>
        </w:rPr>
      </w:pPr>
      <w:r w:rsidRPr="00DE6A3C">
        <w:rPr>
          <w:rFonts w:ascii="Bookman Old Style" w:hAnsi="Bookman Old Style"/>
          <w:b/>
          <w:sz w:val="22"/>
          <w:szCs w:val="22"/>
        </w:rPr>
        <w:t>SOBRE REBAJAS PRESUPUESTARIAS AL PODER JUDICIAL</w:t>
      </w:r>
      <w:r w:rsidRPr="00DE6A3C">
        <w:rPr>
          <w:rFonts w:ascii="Bookman Old Style" w:hAnsi="Bookman Old Style"/>
          <w:sz w:val="22"/>
          <w:szCs w:val="22"/>
        </w:rPr>
        <w:t xml:space="preserve"> </w:t>
      </w:r>
    </w:p>
    <w:p w14:paraId="1BE86E4C" w14:textId="1028202F" w:rsidR="0015435C" w:rsidRPr="00DE6A3C" w:rsidRDefault="00203BF2">
      <w:pPr>
        <w:spacing w:before="360" w:after="360"/>
        <w:jc w:val="both"/>
        <w:rPr>
          <w:rFonts w:ascii="Bookman Old Style" w:hAnsi="Bookman Old Style"/>
          <w:sz w:val="22"/>
          <w:szCs w:val="22"/>
        </w:rPr>
      </w:pPr>
      <w:r w:rsidRPr="00DE6A3C">
        <w:rPr>
          <w:rFonts w:ascii="Bookman Old Style" w:hAnsi="Bookman Old Style"/>
          <w:sz w:val="22"/>
          <w:szCs w:val="22"/>
        </w:rPr>
        <w:t xml:space="preserve">          </w:t>
      </w:r>
      <w:r w:rsidRPr="00DE6A3C">
        <w:rPr>
          <w:rFonts w:ascii="Bookman Old Style" w:hAnsi="Bookman Old Style"/>
          <w:sz w:val="22"/>
          <w:szCs w:val="22"/>
        </w:rPr>
        <w:tab/>
      </w:r>
      <w:r w:rsidRPr="00DE6A3C">
        <w:rPr>
          <w:rFonts w:ascii="Bookman Old Style" w:hAnsi="Bookman Old Style"/>
          <w:sz w:val="22"/>
          <w:szCs w:val="22"/>
        </w:rPr>
        <w:t xml:space="preserve">En relación con el presupuesto del año 2025 y las rebajas contempladas respecto </w:t>
      </w:r>
      <w:r w:rsidR="00DE6A3C" w:rsidRPr="00DE6A3C">
        <w:rPr>
          <w:rFonts w:ascii="Bookman Old Style" w:hAnsi="Bookman Old Style"/>
          <w:sz w:val="22"/>
          <w:szCs w:val="22"/>
        </w:rPr>
        <w:t>de este</w:t>
      </w:r>
      <w:r w:rsidRPr="00DE6A3C">
        <w:rPr>
          <w:rFonts w:ascii="Bookman Old Style" w:hAnsi="Bookman Old Style"/>
          <w:sz w:val="22"/>
          <w:szCs w:val="22"/>
        </w:rPr>
        <w:t xml:space="preserve"> que se harían extensivas al Poder Judicial por no encontrarse incluido dentro de los organismos expresamente excluidos de ello en la ley, el Colegio de Abogados manifiesta lo siguiente:</w:t>
      </w:r>
    </w:p>
    <w:p w14:paraId="14BE7AE2" w14:textId="77777777" w:rsidR="00DE6A3C" w:rsidRDefault="00DE6A3C">
      <w:pPr>
        <w:spacing w:before="360" w:after="360"/>
        <w:jc w:val="both"/>
        <w:rPr>
          <w:rFonts w:ascii="Bookman Old Style" w:hAnsi="Bookman Old Style"/>
          <w:sz w:val="22"/>
          <w:szCs w:val="22"/>
        </w:rPr>
      </w:pPr>
      <w:r>
        <w:rPr>
          <w:rFonts w:ascii="Bookman Old Style" w:hAnsi="Bookman Old Style"/>
          <w:b/>
          <w:bCs/>
          <w:sz w:val="22"/>
          <w:szCs w:val="22"/>
        </w:rPr>
        <w:t xml:space="preserve">1. </w:t>
      </w:r>
      <w:r w:rsidRPr="00DE6A3C">
        <w:rPr>
          <w:rFonts w:ascii="Bookman Old Style" w:hAnsi="Bookman Old Style"/>
          <w:sz w:val="22"/>
          <w:szCs w:val="22"/>
        </w:rPr>
        <w:t>Es evidente que en épocas de estrecheces económicas hay que ajustar los presupuestos del Estado, pero ello no se puede hacer de modo general. Hay materias que son indispensables; una de ellas es la administración de justicia. En la aprobación del presupuesto del Poder Judicial deben regir los principios de independencia externa —no alterar la dotación de jueces establecidos en la ley y sus remuneraciones— y respetar el debido proceso, lo que importa que el Poder Judicial cuente con las personas, infraestructura y medios necesarios. Esas son las únicas formas de garantizar la real protección de los derechos de los ciudadanos, todo consignado como principios y garantías de nuestra Constitución.</w:t>
      </w:r>
    </w:p>
    <w:p w14:paraId="1E307129" w14:textId="38A9C888" w:rsidR="0015435C" w:rsidRPr="00DE6A3C" w:rsidRDefault="00DE6A3C">
      <w:pPr>
        <w:spacing w:before="360" w:after="360"/>
        <w:jc w:val="both"/>
        <w:rPr>
          <w:rFonts w:ascii="Bookman Old Style" w:hAnsi="Bookman Old Style"/>
          <w:sz w:val="22"/>
          <w:szCs w:val="22"/>
        </w:rPr>
      </w:pPr>
      <w:r>
        <w:rPr>
          <w:rFonts w:ascii="Bookman Old Style" w:hAnsi="Bookman Old Style"/>
          <w:b/>
          <w:bCs/>
          <w:sz w:val="22"/>
          <w:szCs w:val="22"/>
        </w:rPr>
        <w:t>2.</w:t>
      </w:r>
      <w:r w:rsidRPr="00DE6A3C">
        <w:rPr>
          <w:rFonts w:ascii="Bookman Old Style" w:hAnsi="Bookman Old Style"/>
          <w:sz w:val="22"/>
          <w:szCs w:val="22"/>
        </w:rPr>
        <w:t xml:space="preserve"> Una simple y genérica reducción del presupuesto, además de atentar en contra de lo señalado, puede infringir los compromisos asumidos en tratados y pactos internacionales que consagran el compromiso del Estado de proporcionar los recursos necesarios para un correcta administración de justicia, no solo en materia penal, sino que, respecto de todas las materias tan trascendentes para la ciudadanía como familia, laboral, tributario, civil, por nombrar algunas.</w:t>
      </w:r>
    </w:p>
    <w:p w14:paraId="43720571" w14:textId="265EB581" w:rsidR="0015435C" w:rsidRPr="00DE6A3C" w:rsidRDefault="00203BF2">
      <w:pPr>
        <w:spacing w:before="360" w:after="360"/>
        <w:jc w:val="both"/>
        <w:rPr>
          <w:rFonts w:ascii="Bookman Old Style" w:hAnsi="Bookman Old Style"/>
          <w:sz w:val="22"/>
          <w:szCs w:val="22"/>
        </w:rPr>
      </w:pPr>
      <w:r w:rsidRPr="00DE6A3C">
        <w:rPr>
          <w:rFonts w:ascii="Bookman Old Style" w:hAnsi="Bookman Old Style"/>
          <w:sz w:val="22"/>
          <w:szCs w:val="22"/>
        </w:rPr>
        <w:t xml:space="preserve"> </w:t>
      </w:r>
      <w:r w:rsidR="00DE6A3C">
        <w:rPr>
          <w:rFonts w:ascii="Bookman Old Style" w:hAnsi="Bookman Old Style"/>
          <w:b/>
          <w:bCs/>
          <w:sz w:val="22"/>
          <w:szCs w:val="22"/>
        </w:rPr>
        <w:t xml:space="preserve">3. </w:t>
      </w:r>
      <w:r w:rsidRPr="00DE6A3C">
        <w:rPr>
          <w:rFonts w:ascii="Bookman Old Style" w:hAnsi="Bookman Old Style"/>
          <w:sz w:val="22"/>
          <w:szCs w:val="22"/>
        </w:rPr>
        <w:t>En la actualidad existe un preocupante retraso en la tramitación de causas judiciales, lo que impacta negativamente el debido acceso a la justicia. Asimismo, existen diversos desafíos pendientes desde hace años, a lo que se une el aumento exponencial de causas sometidas a la decisión de los Tribunales.  La reducción del presupuesto puede agravar este retraso.</w:t>
      </w:r>
    </w:p>
    <w:p w14:paraId="3B32D0AB" w14:textId="327E6129" w:rsidR="0015435C" w:rsidRPr="00DE6A3C" w:rsidRDefault="00203BF2">
      <w:pPr>
        <w:spacing w:before="360" w:after="360"/>
        <w:jc w:val="both"/>
        <w:rPr>
          <w:rFonts w:ascii="Bookman Old Style" w:hAnsi="Bookman Old Style"/>
          <w:sz w:val="22"/>
          <w:szCs w:val="22"/>
        </w:rPr>
      </w:pPr>
      <w:r w:rsidRPr="00DE6A3C">
        <w:rPr>
          <w:rFonts w:ascii="Bookman Old Style" w:hAnsi="Bookman Old Style"/>
          <w:sz w:val="22"/>
          <w:szCs w:val="22"/>
        </w:rPr>
        <w:t xml:space="preserve"> </w:t>
      </w:r>
      <w:r w:rsidR="00DE6A3C">
        <w:rPr>
          <w:rFonts w:ascii="Bookman Old Style" w:hAnsi="Bookman Old Style"/>
          <w:b/>
          <w:bCs/>
          <w:sz w:val="22"/>
          <w:szCs w:val="22"/>
        </w:rPr>
        <w:t xml:space="preserve">4. </w:t>
      </w:r>
      <w:r w:rsidRPr="00DE6A3C">
        <w:rPr>
          <w:rFonts w:ascii="Bookman Old Style" w:hAnsi="Bookman Old Style"/>
          <w:sz w:val="22"/>
          <w:szCs w:val="22"/>
        </w:rPr>
        <w:t>Compartimos lo señalado por la Corte Suprema y por el señor Ministro de Justicia, en relación con la necesidad de advertir al Gobierno de lo expuesto y solicitar que se adopten todas las medidas necesarias para que las rebajas presupuestarias no alteren en manera alguna el esencial, pronto y eficaz desempeño de la labor que le cabe al Poder Judicial.</w:t>
      </w:r>
    </w:p>
    <w:p w14:paraId="5BE1DC2F" w14:textId="61476518" w:rsidR="0015435C" w:rsidRPr="00DE6A3C" w:rsidRDefault="00DE6A3C" w:rsidP="00DE6A3C">
      <w:pPr>
        <w:spacing w:before="360" w:after="360"/>
        <w:jc w:val="both"/>
        <w:rPr>
          <w:rFonts w:ascii="Bookman Old Style" w:hAnsi="Bookman Old Style"/>
          <w:sz w:val="22"/>
          <w:szCs w:val="22"/>
        </w:rPr>
      </w:pPr>
      <w:r>
        <w:rPr>
          <w:rFonts w:ascii="Bookman Old Style" w:hAnsi="Bookman Old Style"/>
          <w:b/>
          <w:bCs/>
          <w:sz w:val="22"/>
          <w:szCs w:val="22"/>
        </w:rPr>
        <w:t xml:space="preserve">5. </w:t>
      </w:r>
      <w:r w:rsidRPr="00DE6A3C">
        <w:rPr>
          <w:rFonts w:ascii="Bookman Old Style" w:hAnsi="Bookman Old Style"/>
          <w:sz w:val="22"/>
          <w:szCs w:val="22"/>
        </w:rPr>
        <w:t>Formulamos esta solicitud para evitar que se produzcan las consecuencias advertidas por la Corte Suprema en su declaración, tal como lo hicimos también presente a propósito de la invitación que gentilmente nos formulara la Comisión de Constitución, Legislación y Justicia de la Cámara de Diputados hace pocas semanas.</w:t>
      </w:r>
    </w:p>
    <w:p w14:paraId="02C8EDEA" w14:textId="77777777" w:rsidR="0015435C" w:rsidRPr="00DE6A3C" w:rsidRDefault="00203BF2" w:rsidP="00DE6A3C">
      <w:pPr>
        <w:spacing w:before="240" w:after="240"/>
        <w:jc w:val="both"/>
        <w:rPr>
          <w:rFonts w:ascii="Bookman Old Style" w:hAnsi="Bookman Old Style"/>
          <w:sz w:val="22"/>
          <w:szCs w:val="22"/>
        </w:rPr>
      </w:pPr>
      <w:r w:rsidRPr="00DE6A3C">
        <w:rPr>
          <w:rFonts w:ascii="Bookman Old Style" w:hAnsi="Bookman Old Style"/>
          <w:sz w:val="22"/>
          <w:szCs w:val="22"/>
        </w:rPr>
        <w:t>Esperamos que el Estado demuestre su real y efectiva preocupación en esta materia, esencial para asegurar la existencia de una real democracia regida por un Estado de Derecho.</w:t>
      </w:r>
    </w:p>
    <w:p w14:paraId="715BE0A1" w14:textId="77777777" w:rsidR="0015435C" w:rsidRPr="00DE6A3C" w:rsidRDefault="0015435C">
      <w:pPr>
        <w:jc w:val="both"/>
        <w:rPr>
          <w:rFonts w:ascii="Bookman Old Style" w:hAnsi="Bookman Old Style"/>
          <w:sz w:val="22"/>
          <w:szCs w:val="22"/>
        </w:rPr>
      </w:pPr>
    </w:p>
    <w:p w14:paraId="6CC56A49" w14:textId="03760281" w:rsidR="0015435C" w:rsidRPr="00DE6A3C" w:rsidRDefault="00203BF2">
      <w:pPr>
        <w:jc w:val="both"/>
        <w:rPr>
          <w:rFonts w:ascii="Bookman Old Style" w:hAnsi="Bookman Old Style"/>
          <w:sz w:val="22"/>
          <w:szCs w:val="22"/>
        </w:rPr>
      </w:pPr>
      <w:r w:rsidRPr="00DE6A3C">
        <w:rPr>
          <w:rFonts w:ascii="Bookman Old Style" w:hAnsi="Bookman Old Style"/>
          <w:sz w:val="22"/>
          <w:szCs w:val="22"/>
        </w:rPr>
        <w:t xml:space="preserve">Acuerdo </w:t>
      </w:r>
      <w:r w:rsidR="00DE6A3C">
        <w:rPr>
          <w:rFonts w:ascii="Bookman Old Style" w:hAnsi="Bookman Old Style"/>
          <w:sz w:val="22"/>
          <w:szCs w:val="22"/>
        </w:rPr>
        <w:t>adoptado</w:t>
      </w:r>
      <w:r w:rsidRPr="00DE6A3C">
        <w:rPr>
          <w:rFonts w:ascii="Bookman Old Style" w:hAnsi="Bookman Old Style"/>
          <w:sz w:val="22"/>
          <w:szCs w:val="22"/>
        </w:rPr>
        <w:t xml:space="preserve"> en </w:t>
      </w:r>
      <w:r w:rsidR="00DE6A3C">
        <w:rPr>
          <w:rFonts w:ascii="Bookman Old Style" w:hAnsi="Bookman Old Style"/>
          <w:sz w:val="22"/>
          <w:szCs w:val="22"/>
        </w:rPr>
        <w:t>S</w:t>
      </w:r>
      <w:r w:rsidRPr="00DE6A3C">
        <w:rPr>
          <w:rFonts w:ascii="Bookman Old Style" w:hAnsi="Bookman Old Style"/>
          <w:sz w:val="22"/>
          <w:szCs w:val="22"/>
        </w:rPr>
        <w:t xml:space="preserve">esión </w:t>
      </w:r>
      <w:r w:rsidR="00DE6A3C">
        <w:rPr>
          <w:rFonts w:ascii="Bookman Old Style" w:hAnsi="Bookman Old Style"/>
          <w:sz w:val="22"/>
          <w:szCs w:val="22"/>
        </w:rPr>
        <w:t xml:space="preserve">de Consejo </w:t>
      </w:r>
      <w:r w:rsidRPr="00DE6A3C">
        <w:rPr>
          <w:rFonts w:ascii="Bookman Old Style" w:hAnsi="Bookman Old Style"/>
          <w:sz w:val="22"/>
          <w:szCs w:val="22"/>
        </w:rPr>
        <w:t>del 20 de enero de 2025.</w:t>
      </w:r>
    </w:p>
    <w:p w14:paraId="6C8B75B7" w14:textId="77777777" w:rsidR="0015435C" w:rsidRPr="00DE6A3C" w:rsidRDefault="0015435C">
      <w:pPr>
        <w:jc w:val="both"/>
        <w:rPr>
          <w:rFonts w:ascii="Bookman Old Style" w:hAnsi="Bookman Old Style"/>
          <w:sz w:val="22"/>
          <w:szCs w:val="22"/>
        </w:rPr>
      </w:pPr>
    </w:p>
    <w:p w14:paraId="3D2FEFC8" w14:textId="77777777" w:rsidR="0015435C" w:rsidRPr="00DE6A3C" w:rsidRDefault="0015435C" w:rsidP="00DE6A3C">
      <w:pPr>
        <w:jc w:val="center"/>
        <w:rPr>
          <w:rFonts w:ascii="Bookman Old Style" w:hAnsi="Bookman Old Style"/>
          <w:b/>
          <w:sz w:val="22"/>
          <w:szCs w:val="22"/>
        </w:rPr>
      </w:pPr>
    </w:p>
    <w:p w14:paraId="0F6061D9" w14:textId="55596D0A" w:rsidR="0015435C" w:rsidRDefault="00DE6A3C" w:rsidP="00DE6A3C">
      <w:pPr>
        <w:jc w:val="center"/>
        <w:rPr>
          <w:rFonts w:ascii="Bookman Old Style" w:hAnsi="Bookman Old Style"/>
          <w:bCs/>
          <w:sz w:val="22"/>
          <w:szCs w:val="22"/>
        </w:rPr>
      </w:pPr>
      <w:r>
        <w:rPr>
          <w:rFonts w:ascii="Bookman Old Style" w:hAnsi="Bookman Old Style"/>
          <w:bCs/>
          <w:sz w:val="22"/>
          <w:szCs w:val="22"/>
        </w:rPr>
        <w:t>Consejo General</w:t>
      </w:r>
    </w:p>
    <w:p w14:paraId="6B29C9EA" w14:textId="6164C795" w:rsidR="00DE6A3C" w:rsidRPr="00DE6A3C" w:rsidRDefault="00DE6A3C" w:rsidP="00DE6A3C">
      <w:pPr>
        <w:jc w:val="center"/>
        <w:rPr>
          <w:rFonts w:ascii="Bookman Old Style" w:hAnsi="Bookman Old Style"/>
          <w:bCs/>
          <w:sz w:val="22"/>
          <w:szCs w:val="22"/>
        </w:rPr>
      </w:pPr>
      <w:r>
        <w:rPr>
          <w:rFonts w:ascii="Bookman Old Style" w:hAnsi="Bookman Old Style"/>
          <w:bCs/>
          <w:sz w:val="22"/>
          <w:szCs w:val="22"/>
        </w:rPr>
        <w:t>Colegio de Abogados de Chile</w:t>
      </w:r>
    </w:p>
    <w:p w14:paraId="7F96808B" w14:textId="77777777" w:rsidR="0015435C" w:rsidRPr="00DE6A3C" w:rsidRDefault="0015435C" w:rsidP="00DE6A3C">
      <w:pPr>
        <w:ind w:firstLine="708"/>
        <w:jc w:val="center"/>
        <w:rPr>
          <w:rFonts w:ascii="Bookman Old Style" w:hAnsi="Bookman Old Style"/>
          <w:b/>
          <w:sz w:val="22"/>
          <w:szCs w:val="22"/>
        </w:rPr>
      </w:pPr>
    </w:p>
    <w:p w14:paraId="4BCE55F9" w14:textId="77777777" w:rsidR="0015435C" w:rsidRPr="00DE6A3C" w:rsidRDefault="0015435C" w:rsidP="00DE6A3C">
      <w:pPr>
        <w:ind w:firstLine="708"/>
        <w:jc w:val="center"/>
        <w:rPr>
          <w:rFonts w:ascii="Bookman Old Style" w:hAnsi="Bookman Old Style"/>
          <w:sz w:val="22"/>
          <w:szCs w:val="22"/>
        </w:rPr>
      </w:pPr>
    </w:p>
    <w:p w14:paraId="45C50680" w14:textId="77777777" w:rsidR="0015435C" w:rsidRPr="00DE6A3C" w:rsidRDefault="0015435C" w:rsidP="00DE6A3C">
      <w:pPr>
        <w:jc w:val="center"/>
        <w:rPr>
          <w:rFonts w:ascii="Bookman Old Style" w:hAnsi="Bookman Old Style"/>
          <w:sz w:val="22"/>
          <w:szCs w:val="22"/>
        </w:rPr>
      </w:pPr>
    </w:p>
    <w:sectPr w:rsidR="0015435C" w:rsidRPr="00DE6A3C" w:rsidSect="00DE6A3C">
      <w:headerReference w:type="default" r:id="rId7"/>
      <w:pgSz w:w="12240" w:h="20160" w:code="5"/>
      <w:pgMar w:top="1417" w:right="1701" w:bottom="1417" w:left="1701" w:header="708" w:footer="708"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3D9DBD" w14:textId="77777777" w:rsidR="00203BF2" w:rsidRDefault="00203BF2">
      <w:r>
        <w:separator/>
      </w:r>
    </w:p>
  </w:endnote>
  <w:endnote w:type="continuationSeparator" w:id="0">
    <w:p w14:paraId="6DE9DA95" w14:textId="77777777" w:rsidR="00203BF2" w:rsidRDefault="00203B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7230F6" w14:textId="77777777" w:rsidR="00203BF2" w:rsidRDefault="00203BF2">
      <w:r>
        <w:separator/>
      </w:r>
    </w:p>
  </w:footnote>
  <w:footnote w:type="continuationSeparator" w:id="0">
    <w:p w14:paraId="26E03016" w14:textId="77777777" w:rsidR="00203BF2" w:rsidRDefault="00203B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502447" w14:textId="2E82A01C" w:rsidR="00DE6A3C" w:rsidRDefault="00DE6A3C">
    <w:pPr>
      <w:pStyle w:val="Encabezado"/>
    </w:pPr>
    <w:r>
      <w:rPr>
        <w:noProof/>
      </w:rPr>
      <w:drawing>
        <wp:inline distT="0" distB="0" distL="0" distR="0" wp14:anchorId="6445269E" wp14:editId="40E15CCD">
          <wp:extent cx="3168396" cy="900684"/>
          <wp:effectExtent l="0" t="0" r="0" b="0"/>
          <wp:docPr id="550456159" name="Imagen 1" descr="Interfaz de usuario gráfic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0456159" name="Imagen 1" descr="Interfaz de usuario gráfica&#10;&#10;Descripción generada automáticamente con confianza baja"/>
                  <pic:cNvPicPr/>
                </pic:nvPicPr>
                <pic:blipFill>
                  <a:blip r:embed="rId1">
                    <a:extLst>
                      <a:ext uri="{28A0092B-C50C-407E-A947-70E740481C1C}">
                        <a14:useLocalDpi xmlns:a14="http://schemas.microsoft.com/office/drawing/2010/main" val="0"/>
                      </a:ext>
                    </a:extLst>
                  </a:blip>
                  <a:stretch>
                    <a:fillRect/>
                  </a:stretch>
                </pic:blipFill>
                <pic:spPr>
                  <a:xfrm>
                    <a:off x="0" y="0"/>
                    <a:ext cx="3168396" cy="900684"/>
                  </a:xfrm>
                  <a:prstGeom prst="rect">
                    <a:avLst/>
                  </a:prstGeom>
                </pic:spPr>
              </pic:pic>
            </a:graphicData>
          </a:graphic>
        </wp:inline>
      </w:drawing>
    </w:r>
  </w:p>
  <w:p w14:paraId="3DD16EEC" w14:textId="77777777" w:rsidR="0015435C" w:rsidRDefault="0015435C"/>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435C"/>
    <w:rsid w:val="0015435C"/>
    <w:rsid w:val="00203BF2"/>
    <w:rsid w:val="002A2807"/>
    <w:rsid w:val="0034606E"/>
    <w:rsid w:val="0050334F"/>
    <w:rsid w:val="00580B5F"/>
    <w:rsid w:val="008D5DD8"/>
    <w:rsid w:val="008F38AD"/>
    <w:rsid w:val="00B925B6"/>
    <w:rsid w:val="00DE6A3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A55D77"/>
  <w15:docId w15:val="{343CD7FA-6D0E-42DF-80C9-F73BB2340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es-ES_tradnl" w:eastAsia="es-C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Revisin">
    <w:name w:val="Revision"/>
    <w:hidden/>
    <w:uiPriority w:val="99"/>
    <w:semiHidden/>
    <w:rsid w:val="00A63A47"/>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Encabezado">
    <w:name w:val="header"/>
    <w:basedOn w:val="Normal"/>
    <w:link w:val="EncabezadoCar"/>
    <w:uiPriority w:val="99"/>
    <w:unhideWhenUsed/>
    <w:rsid w:val="00DE6A3C"/>
    <w:pPr>
      <w:tabs>
        <w:tab w:val="center" w:pos="4419"/>
        <w:tab w:val="right" w:pos="8838"/>
      </w:tabs>
    </w:pPr>
  </w:style>
  <w:style w:type="character" w:customStyle="1" w:styleId="EncabezadoCar">
    <w:name w:val="Encabezado Car"/>
    <w:basedOn w:val="Fuentedeprrafopredeter"/>
    <w:link w:val="Encabezado"/>
    <w:uiPriority w:val="99"/>
    <w:rsid w:val="00DE6A3C"/>
  </w:style>
  <w:style w:type="paragraph" w:styleId="Piedepgina">
    <w:name w:val="footer"/>
    <w:basedOn w:val="Normal"/>
    <w:link w:val="PiedepginaCar"/>
    <w:uiPriority w:val="99"/>
    <w:unhideWhenUsed/>
    <w:rsid w:val="00DE6A3C"/>
    <w:pPr>
      <w:tabs>
        <w:tab w:val="center" w:pos="4419"/>
        <w:tab w:val="right" w:pos="8838"/>
      </w:tabs>
    </w:pPr>
  </w:style>
  <w:style w:type="character" w:customStyle="1" w:styleId="PiedepginaCar">
    <w:name w:val="Pie de página Car"/>
    <w:basedOn w:val="Fuentedeprrafopredeter"/>
    <w:link w:val="Piedepgina"/>
    <w:uiPriority w:val="99"/>
    <w:rsid w:val="00DE6A3C"/>
  </w:style>
  <w:style w:type="paragraph" w:styleId="Prrafodelista">
    <w:name w:val="List Paragraph"/>
    <w:basedOn w:val="Normal"/>
    <w:uiPriority w:val="34"/>
    <w:qFormat/>
    <w:rsid w:val="00DE6A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oxj8jyNaHTmCGReOnm3Vo+9zvlA==">CgMxLjA4AHIhMVJhcGI2ZVA4RVFCS0hyRHZXazBQMHpaUG5CM3Y4d1Rw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441</Words>
  <Characters>2429</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Ana María Carbone</cp:lastModifiedBy>
  <cp:revision>2</cp:revision>
  <cp:lastPrinted>2025-01-21T14:18:00Z</cp:lastPrinted>
  <dcterms:created xsi:type="dcterms:W3CDTF">2025-01-21T14:43:00Z</dcterms:created>
  <dcterms:modified xsi:type="dcterms:W3CDTF">2025-01-21T14:43:00Z</dcterms:modified>
</cp:coreProperties>
</file>