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DB2EA" w14:textId="77777777" w:rsidR="004F44FC" w:rsidRDefault="004F44FC" w:rsidP="002E6FDE">
      <w:pPr>
        <w:spacing w:after="0"/>
        <w:jc w:val="center"/>
        <w:rPr>
          <w:rFonts w:ascii="Bookman Old Style" w:eastAsia="Times New Roman" w:hAnsi="Bookman Old Style" w:cs="Times New Roman"/>
          <w:b/>
          <w:bCs/>
          <w:lang w:val="es-ES" w:eastAsia="es-ES"/>
        </w:rPr>
      </w:pPr>
      <w:bookmarkStart w:id="0" w:name="_Hlk170128682"/>
    </w:p>
    <w:p w14:paraId="77F0143D" w14:textId="77777777" w:rsidR="004F44FC" w:rsidRDefault="004F44FC" w:rsidP="002E6FDE">
      <w:pPr>
        <w:spacing w:after="0"/>
        <w:jc w:val="center"/>
        <w:rPr>
          <w:rFonts w:ascii="Bookman Old Style" w:eastAsia="Times New Roman" w:hAnsi="Bookman Old Style" w:cs="Times New Roman"/>
          <w:b/>
          <w:bCs/>
          <w:lang w:val="es-ES" w:eastAsia="es-ES"/>
        </w:rPr>
      </w:pPr>
    </w:p>
    <w:p w14:paraId="1C660B9E" w14:textId="5B506C63" w:rsidR="00AD5DCE" w:rsidRDefault="00C6189B" w:rsidP="002E6FDE">
      <w:pPr>
        <w:spacing w:after="0"/>
        <w:jc w:val="both"/>
        <w:rPr>
          <w:rFonts w:ascii="Bookman Old Style" w:eastAsia="Times New Roman" w:hAnsi="Bookman Old Style" w:cs="Times New Roman"/>
          <w:lang w:val="es-ES" w:eastAsia="es-ES"/>
        </w:rPr>
      </w:pPr>
      <w:r>
        <w:rPr>
          <w:rFonts w:ascii="Bookman Old Style" w:eastAsia="Times New Roman" w:hAnsi="Bookman Old Style" w:cs="Times New Roman"/>
          <w:lang w:val="es-ES" w:eastAsia="es-ES"/>
        </w:rPr>
        <w:t>28 de julio de 2025</w:t>
      </w:r>
    </w:p>
    <w:p w14:paraId="5C85CEA3" w14:textId="77777777" w:rsidR="00FD5F39" w:rsidRDefault="00FD5F39" w:rsidP="002E6FDE">
      <w:pPr>
        <w:spacing w:after="0"/>
        <w:jc w:val="both"/>
        <w:rPr>
          <w:rFonts w:ascii="Bookman Old Style" w:eastAsia="Times New Roman" w:hAnsi="Bookman Old Style" w:cs="Times New Roman"/>
          <w:lang w:val="es-ES" w:eastAsia="es-ES"/>
        </w:rPr>
      </w:pPr>
    </w:p>
    <w:p w14:paraId="2016CBA6" w14:textId="77777777" w:rsidR="002E6FDE" w:rsidRDefault="002E6FDE" w:rsidP="002E6FDE">
      <w:pPr>
        <w:spacing w:after="0"/>
        <w:jc w:val="both"/>
        <w:rPr>
          <w:rFonts w:ascii="Bookman Old Style" w:eastAsia="Times New Roman" w:hAnsi="Bookman Old Style" w:cs="Times New Roman"/>
          <w:b/>
          <w:bCs/>
          <w:lang w:eastAsia="es-ES"/>
        </w:rPr>
      </w:pPr>
      <w:r w:rsidRPr="002E6FDE">
        <w:rPr>
          <w:rFonts w:ascii="Bookman Old Style" w:eastAsia="Times New Roman" w:hAnsi="Bookman Old Style" w:cs="Times New Roman"/>
          <w:b/>
          <w:bCs/>
          <w:lang w:eastAsia="es-ES"/>
        </w:rPr>
        <w:t>Constitución del nuevo Consejo General del Colegio de Abogados de Chile A.G.</w:t>
      </w:r>
    </w:p>
    <w:p w14:paraId="32056E45" w14:textId="77777777" w:rsidR="00FD5F39" w:rsidRDefault="00FD5F39" w:rsidP="00FD5F39">
      <w:pPr>
        <w:spacing w:after="0"/>
        <w:jc w:val="center"/>
        <w:rPr>
          <w:rFonts w:ascii="Bookman Old Style" w:eastAsia="Times New Roman" w:hAnsi="Bookman Old Style" w:cs="Times New Roman"/>
          <w:b/>
          <w:bCs/>
          <w:lang w:val="es-ES" w:eastAsia="es-ES"/>
        </w:rPr>
      </w:pPr>
    </w:p>
    <w:p w14:paraId="4648042F" w14:textId="278D23D0" w:rsidR="00FD5F39" w:rsidRDefault="002E6FDE" w:rsidP="002E6FDE">
      <w:p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 xml:space="preserve">En el día de hoy se llevó a cabo la </w:t>
      </w:r>
      <w:r w:rsidR="00FD5F39">
        <w:rPr>
          <w:rFonts w:ascii="Bookman Old Style" w:eastAsia="Times New Roman" w:hAnsi="Bookman Old Style" w:cs="Times New Roman"/>
          <w:lang w:eastAsia="es-ES"/>
        </w:rPr>
        <w:t>C</w:t>
      </w:r>
      <w:r w:rsidRPr="002E6FDE">
        <w:rPr>
          <w:rFonts w:ascii="Bookman Old Style" w:eastAsia="Times New Roman" w:hAnsi="Bookman Old Style" w:cs="Times New Roman"/>
          <w:lang w:eastAsia="es-ES"/>
        </w:rPr>
        <w:t xml:space="preserve">eremonia de constitución del nuevo </w:t>
      </w:r>
      <w:r w:rsidRPr="002E6FDE">
        <w:rPr>
          <w:rFonts w:ascii="Bookman Old Style" w:eastAsia="Times New Roman" w:hAnsi="Bookman Old Style" w:cs="Times New Roman"/>
          <w:b/>
          <w:bCs/>
          <w:lang w:eastAsia="es-ES"/>
        </w:rPr>
        <w:t>Consejo General del Colegio de Abogados de Chile A.G.</w:t>
      </w:r>
      <w:r w:rsidRPr="002E6FDE">
        <w:rPr>
          <w:rFonts w:ascii="Bookman Old Style" w:eastAsia="Times New Roman" w:hAnsi="Bookman Old Style" w:cs="Times New Roman"/>
          <w:lang w:eastAsia="es-ES"/>
        </w:rPr>
        <w:t xml:space="preserve"> para el período </w:t>
      </w:r>
      <w:r w:rsidRPr="002E6FDE">
        <w:rPr>
          <w:rFonts w:ascii="Bookman Old Style" w:eastAsia="Times New Roman" w:hAnsi="Bookman Old Style" w:cs="Times New Roman"/>
          <w:b/>
          <w:bCs/>
          <w:lang w:eastAsia="es-ES"/>
        </w:rPr>
        <w:t>2025 – 202</w:t>
      </w:r>
      <w:r w:rsidR="001235E4">
        <w:rPr>
          <w:rFonts w:ascii="Bookman Old Style" w:eastAsia="Times New Roman" w:hAnsi="Bookman Old Style" w:cs="Times New Roman"/>
          <w:b/>
          <w:bCs/>
          <w:lang w:eastAsia="es-ES"/>
        </w:rPr>
        <w:t>7</w:t>
      </w:r>
      <w:r w:rsidRPr="002E6FDE">
        <w:rPr>
          <w:rFonts w:ascii="Bookman Old Style" w:eastAsia="Times New Roman" w:hAnsi="Bookman Old Style" w:cs="Times New Roman"/>
          <w:lang w:eastAsia="es-ES"/>
        </w:rPr>
        <w:t xml:space="preserve">. </w:t>
      </w:r>
    </w:p>
    <w:p w14:paraId="3CAC6491" w14:textId="77777777" w:rsidR="00FD5F39" w:rsidRDefault="00FD5F39" w:rsidP="002E6FDE">
      <w:pPr>
        <w:spacing w:after="0"/>
        <w:jc w:val="both"/>
        <w:rPr>
          <w:rFonts w:ascii="Bookman Old Style" w:eastAsia="Times New Roman" w:hAnsi="Bookman Old Style" w:cs="Times New Roman"/>
          <w:lang w:eastAsia="es-ES"/>
        </w:rPr>
      </w:pPr>
    </w:p>
    <w:p w14:paraId="258F6969" w14:textId="00BB4AF5" w:rsidR="002E6FDE" w:rsidRPr="00FD5F39" w:rsidRDefault="002E6FDE" w:rsidP="002E6FDE">
      <w:p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La instancia se inició con la toma de Juramento y/o Promesa a los nuevos y reelectos Consejeros</w:t>
      </w:r>
      <w:r w:rsidR="001235E4">
        <w:rPr>
          <w:rFonts w:ascii="Bookman Old Style" w:eastAsia="Times New Roman" w:hAnsi="Bookman Old Style" w:cs="Times New Roman"/>
          <w:lang w:eastAsia="es-ES"/>
        </w:rPr>
        <w:t xml:space="preserve"> para el periodo 2025-2029: </w:t>
      </w:r>
      <w:r w:rsidRPr="002E6FDE">
        <w:rPr>
          <w:rFonts w:ascii="Bookman Old Style" w:eastAsia="Times New Roman" w:hAnsi="Bookman Old Style" w:cs="Times New Roman"/>
          <w:lang w:eastAsia="es-ES"/>
        </w:rPr>
        <w:t xml:space="preserve"> Daniela Hirsch Vergara (1), Ramiro Mendoza Zúñiga (2), Enrique Navarro Beltrán (3), María Soledad Ramírez Herrera (4), Soledad Recabarren Galdames (5), Rodrigo Rettig Vargas (6), Andrea Saffie Vega (7), Miguel Schurmann Opazo (8), Salvador Valdés Correa (9) y Paula Vial Reynal (10).</w:t>
      </w:r>
    </w:p>
    <w:p w14:paraId="1BA65AD9" w14:textId="77777777" w:rsidR="00FD5F39" w:rsidRPr="002E6FDE" w:rsidRDefault="00FD5F39" w:rsidP="002E6FDE">
      <w:pPr>
        <w:spacing w:after="0"/>
        <w:jc w:val="both"/>
        <w:rPr>
          <w:rFonts w:ascii="Bookman Old Style" w:eastAsia="Times New Roman" w:hAnsi="Bookman Old Style" w:cs="Times New Roman"/>
          <w:lang w:eastAsia="es-ES"/>
        </w:rPr>
      </w:pPr>
    </w:p>
    <w:p w14:paraId="09CBAD46" w14:textId="7772A0CA" w:rsidR="002E6FDE" w:rsidRPr="00FD5F39" w:rsidRDefault="002E6FDE" w:rsidP="002E6FDE">
      <w:p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 xml:space="preserve">En consecuencia, el Consejo General de la Orden para el período 2025 – 2027 quedó integrado </w:t>
      </w:r>
      <w:r w:rsidR="001235E4">
        <w:rPr>
          <w:rFonts w:ascii="Bookman Old Style" w:eastAsia="Times New Roman" w:hAnsi="Bookman Old Style" w:cs="Times New Roman"/>
          <w:lang w:eastAsia="es-ES"/>
        </w:rPr>
        <w:t>como a continuación se indica:</w:t>
      </w:r>
    </w:p>
    <w:p w14:paraId="484B20D0" w14:textId="77777777" w:rsidR="002E6FDE" w:rsidRPr="002E6FDE" w:rsidRDefault="002E6FDE" w:rsidP="002E6FDE">
      <w:pPr>
        <w:spacing w:after="0"/>
        <w:jc w:val="both"/>
        <w:rPr>
          <w:rFonts w:ascii="Bookman Old Style" w:eastAsia="Times New Roman" w:hAnsi="Bookman Old Style" w:cs="Times New Roman"/>
          <w:lang w:eastAsia="es-ES"/>
        </w:rPr>
      </w:pPr>
    </w:p>
    <w:p w14:paraId="4AF77504" w14:textId="14553183" w:rsidR="002E6FDE" w:rsidRDefault="002E6FDE" w:rsidP="002E6FDE">
      <w:p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b/>
          <w:bCs/>
          <w:lang w:eastAsia="es-ES"/>
        </w:rPr>
        <w:t>Presidente:</w:t>
      </w:r>
      <w:r w:rsidRPr="002E6FDE">
        <w:rPr>
          <w:rFonts w:ascii="Bookman Old Style" w:eastAsia="Times New Roman" w:hAnsi="Bookman Old Style" w:cs="Times New Roman"/>
          <w:lang w:eastAsia="es-ES"/>
        </w:rPr>
        <w:t xml:space="preserve"> Ramiro Mendoza Zúñiga</w:t>
      </w:r>
    </w:p>
    <w:p w14:paraId="65C31EE2" w14:textId="10D4B383" w:rsidR="002E6FDE" w:rsidRDefault="002E6FDE" w:rsidP="002E6FDE">
      <w:p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br/>
      </w:r>
      <w:r w:rsidRPr="002E6FDE">
        <w:rPr>
          <w:rFonts w:ascii="Bookman Old Style" w:eastAsia="Times New Roman" w:hAnsi="Bookman Old Style" w:cs="Times New Roman"/>
          <w:b/>
          <w:bCs/>
          <w:lang w:eastAsia="es-ES"/>
        </w:rPr>
        <w:t>Vicepresidenta:</w:t>
      </w:r>
      <w:r w:rsidRPr="002E6FDE">
        <w:rPr>
          <w:rFonts w:ascii="Bookman Old Style" w:eastAsia="Times New Roman" w:hAnsi="Bookman Old Style" w:cs="Times New Roman"/>
          <w:lang w:eastAsia="es-ES"/>
        </w:rPr>
        <w:t xml:space="preserve"> Soledad Recabarren Galdames</w:t>
      </w:r>
    </w:p>
    <w:p w14:paraId="2FA49F05" w14:textId="77777777" w:rsidR="00FD5F39" w:rsidRPr="002E6FDE" w:rsidRDefault="00FD5F39" w:rsidP="002E6FDE">
      <w:pPr>
        <w:spacing w:after="0"/>
        <w:jc w:val="both"/>
        <w:rPr>
          <w:rFonts w:ascii="Bookman Old Style" w:eastAsia="Times New Roman" w:hAnsi="Bookman Old Style" w:cs="Times New Roman"/>
          <w:lang w:eastAsia="es-ES"/>
        </w:rPr>
      </w:pPr>
    </w:p>
    <w:p w14:paraId="0984B6BF" w14:textId="77777777" w:rsidR="002E6FDE" w:rsidRPr="002E6FDE" w:rsidRDefault="002E6FDE" w:rsidP="002E6FDE">
      <w:p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b/>
          <w:bCs/>
          <w:lang w:eastAsia="es-ES"/>
        </w:rPr>
        <w:t>Consejeros(as):</w:t>
      </w:r>
    </w:p>
    <w:p w14:paraId="43636D6A"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Marcela Achurra González</w:t>
      </w:r>
    </w:p>
    <w:p w14:paraId="586965E8"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Macarena Carvallo Silva</w:t>
      </w:r>
    </w:p>
    <w:p w14:paraId="5E774C6C"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Rafael Ferrada Henríquez</w:t>
      </w:r>
    </w:p>
    <w:p w14:paraId="21BBAE97"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Daniela Hirsch Vergara</w:t>
      </w:r>
    </w:p>
    <w:p w14:paraId="3825AB27"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Matías Insunza Tagle</w:t>
      </w:r>
    </w:p>
    <w:p w14:paraId="1823B7E9"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Enrique Navarro Beltrán</w:t>
      </w:r>
    </w:p>
    <w:p w14:paraId="2D5316B9"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Rodrigo Ochagavía Ruiz</w:t>
      </w:r>
      <w:r w:rsidRPr="002E6FDE">
        <w:rPr>
          <w:rFonts w:ascii="Bookman Old Style" w:eastAsia="Times New Roman" w:hAnsi="Bookman Old Style" w:cs="Times New Roman"/>
          <w:lang w:eastAsia="es-ES"/>
        </w:rPr>
        <w:noBreakHyphen/>
        <w:t>Tagle</w:t>
      </w:r>
    </w:p>
    <w:p w14:paraId="679B9012"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María Soledad Ramírez Herrera</w:t>
      </w:r>
    </w:p>
    <w:p w14:paraId="55F2ECB6"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Rodrigo Alfonso Rettig Vargas</w:t>
      </w:r>
    </w:p>
    <w:p w14:paraId="636FEAB7"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Loreto Ried Undurraga</w:t>
      </w:r>
    </w:p>
    <w:p w14:paraId="578C5E33"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Andrea Saffie Vega</w:t>
      </w:r>
    </w:p>
    <w:p w14:paraId="3F069DB3"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Miguel Schurmann Opazo</w:t>
      </w:r>
    </w:p>
    <w:p w14:paraId="7BDCA754"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Salvador Valdés Correa</w:t>
      </w:r>
    </w:p>
    <w:p w14:paraId="5B0C3068"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Paula Vial Reynal</w:t>
      </w:r>
    </w:p>
    <w:p w14:paraId="7DA9FF63"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Pedro Pablo Vergara Varas</w:t>
      </w:r>
    </w:p>
    <w:p w14:paraId="7DB77199" w14:textId="77777777" w:rsidR="002E6FDE" w:rsidRP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Elisa Walker Echenique</w:t>
      </w:r>
    </w:p>
    <w:p w14:paraId="018DE582" w14:textId="77777777" w:rsidR="002E6FDE" w:rsidRDefault="002E6FDE" w:rsidP="002E6FDE">
      <w:pPr>
        <w:numPr>
          <w:ilvl w:val="0"/>
          <w:numId w:val="4"/>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Gabriel Zaliasnik Schilkrut</w:t>
      </w:r>
    </w:p>
    <w:p w14:paraId="02C754DE" w14:textId="77777777" w:rsidR="00FD5F39" w:rsidRPr="002E6FDE" w:rsidRDefault="00FD5F39" w:rsidP="00FD5F39">
      <w:pPr>
        <w:spacing w:after="0"/>
        <w:ind w:left="720"/>
        <w:jc w:val="both"/>
        <w:rPr>
          <w:rFonts w:ascii="Bookman Old Style" w:eastAsia="Times New Roman" w:hAnsi="Bookman Old Style" w:cs="Times New Roman"/>
          <w:lang w:eastAsia="es-ES"/>
        </w:rPr>
      </w:pPr>
    </w:p>
    <w:p w14:paraId="3BAA677F" w14:textId="77777777" w:rsidR="002E6FDE" w:rsidRDefault="002E6FDE" w:rsidP="002E6FDE">
      <w:p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lang w:eastAsia="es-ES"/>
        </w:rPr>
        <w:t>Asimismo, en la oportunidad se rindió un sentido homenaje a quienes cesaron en su calidad de Consejeros, destacando y agradeciendo su valiosa contribución a la institución durante el ejercicio de sus funciones:</w:t>
      </w:r>
    </w:p>
    <w:p w14:paraId="512528C8" w14:textId="77777777" w:rsidR="00FD5F39" w:rsidRPr="002E6FDE" w:rsidRDefault="00FD5F39" w:rsidP="002E6FDE">
      <w:pPr>
        <w:spacing w:after="0"/>
        <w:jc w:val="both"/>
        <w:rPr>
          <w:rFonts w:ascii="Bookman Old Style" w:eastAsia="Times New Roman" w:hAnsi="Bookman Old Style" w:cs="Times New Roman"/>
          <w:lang w:eastAsia="es-ES"/>
        </w:rPr>
      </w:pPr>
    </w:p>
    <w:p w14:paraId="1351409E" w14:textId="77777777" w:rsidR="002E6FDE" w:rsidRPr="002E6FDE" w:rsidRDefault="002E6FDE" w:rsidP="002E6FDE">
      <w:pPr>
        <w:numPr>
          <w:ilvl w:val="0"/>
          <w:numId w:val="5"/>
        </w:numPr>
        <w:spacing w:after="0"/>
        <w:jc w:val="both"/>
        <w:rPr>
          <w:rFonts w:ascii="Bookman Old Style" w:eastAsia="Times New Roman" w:hAnsi="Bookman Old Style" w:cs="Times New Roman"/>
          <w:lang w:val="pt-PT" w:eastAsia="es-ES"/>
        </w:rPr>
      </w:pPr>
      <w:r w:rsidRPr="002E6FDE">
        <w:rPr>
          <w:rFonts w:ascii="Bookman Old Style" w:eastAsia="Times New Roman" w:hAnsi="Bookman Old Style" w:cs="Times New Roman"/>
          <w:b/>
          <w:bCs/>
          <w:lang w:val="pt-PT" w:eastAsia="es-ES"/>
        </w:rPr>
        <w:t>Luis Alberto Aninat</w:t>
      </w:r>
      <w:r w:rsidRPr="002E6FDE">
        <w:rPr>
          <w:rFonts w:ascii="Bookman Old Style" w:eastAsia="Times New Roman" w:hAnsi="Bookman Old Style" w:cs="Times New Roman"/>
          <w:lang w:val="pt-PT" w:eastAsia="es-ES"/>
        </w:rPr>
        <w:t>, Consejero 2017–2025 (2 períodos)</w:t>
      </w:r>
    </w:p>
    <w:p w14:paraId="2F28A54C" w14:textId="77777777" w:rsidR="002E6FDE" w:rsidRPr="002E6FDE" w:rsidRDefault="002E6FDE" w:rsidP="002E6FDE">
      <w:pPr>
        <w:numPr>
          <w:ilvl w:val="0"/>
          <w:numId w:val="5"/>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b/>
          <w:bCs/>
          <w:lang w:eastAsia="es-ES"/>
        </w:rPr>
        <w:t>Francys Foix Fuentealba</w:t>
      </w:r>
      <w:r w:rsidRPr="002E6FDE">
        <w:rPr>
          <w:rFonts w:ascii="Bookman Old Style" w:eastAsia="Times New Roman" w:hAnsi="Bookman Old Style" w:cs="Times New Roman"/>
          <w:lang w:eastAsia="es-ES"/>
        </w:rPr>
        <w:t>, Consejera 2021–2025 (1 período)</w:t>
      </w:r>
    </w:p>
    <w:p w14:paraId="455A1B6B" w14:textId="77777777" w:rsidR="002E6FDE" w:rsidRPr="002E6FDE" w:rsidRDefault="002E6FDE" w:rsidP="002E6FDE">
      <w:pPr>
        <w:numPr>
          <w:ilvl w:val="0"/>
          <w:numId w:val="5"/>
        </w:numPr>
        <w:spacing w:after="0"/>
        <w:jc w:val="both"/>
        <w:rPr>
          <w:rFonts w:ascii="Bookman Old Style" w:eastAsia="Times New Roman" w:hAnsi="Bookman Old Style" w:cs="Times New Roman"/>
          <w:lang w:eastAsia="es-ES"/>
        </w:rPr>
      </w:pPr>
      <w:r w:rsidRPr="002E6FDE">
        <w:rPr>
          <w:rFonts w:ascii="Bookman Old Style" w:eastAsia="Times New Roman" w:hAnsi="Bookman Old Style" w:cs="Times New Roman"/>
          <w:b/>
          <w:bCs/>
          <w:lang w:eastAsia="es-ES"/>
        </w:rPr>
        <w:t>Cristián Maturana Miquel</w:t>
      </w:r>
      <w:r w:rsidRPr="002E6FDE">
        <w:rPr>
          <w:rFonts w:ascii="Bookman Old Style" w:eastAsia="Times New Roman" w:hAnsi="Bookman Old Style" w:cs="Times New Roman"/>
          <w:lang w:eastAsia="es-ES"/>
        </w:rPr>
        <w:t>, Consejero 2013–2025 (3 períodos)</w:t>
      </w:r>
    </w:p>
    <w:p w14:paraId="2CDAA44D" w14:textId="77777777" w:rsidR="002E6FDE" w:rsidRPr="002E6FDE" w:rsidRDefault="002E6FDE" w:rsidP="002E6FDE">
      <w:pPr>
        <w:numPr>
          <w:ilvl w:val="0"/>
          <w:numId w:val="5"/>
        </w:numPr>
        <w:spacing w:after="0"/>
        <w:jc w:val="both"/>
        <w:rPr>
          <w:rFonts w:ascii="Bookman Old Style" w:eastAsia="Times New Roman" w:hAnsi="Bookman Old Style" w:cs="Times New Roman"/>
          <w:lang w:val="pt-PT" w:eastAsia="es-ES"/>
        </w:rPr>
      </w:pPr>
      <w:r w:rsidRPr="002E6FDE">
        <w:rPr>
          <w:rFonts w:ascii="Bookman Old Style" w:eastAsia="Times New Roman" w:hAnsi="Bookman Old Style" w:cs="Times New Roman"/>
          <w:b/>
          <w:bCs/>
          <w:lang w:val="pt-PT" w:eastAsia="es-ES"/>
        </w:rPr>
        <w:t>Paulo Montt Rettig</w:t>
      </w:r>
      <w:r w:rsidRPr="002E6FDE">
        <w:rPr>
          <w:rFonts w:ascii="Bookman Old Style" w:eastAsia="Times New Roman" w:hAnsi="Bookman Old Style" w:cs="Times New Roman"/>
          <w:lang w:val="pt-PT" w:eastAsia="es-ES"/>
        </w:rPr>
        <w:t>, Consejero 2017–2025 (2 períodos)</w:t>
      </w:r>
    </w:p>
    <w:p w14:paraId="5ADDDBF0" w14:textId="77777777" w:rsidR="002E6FDE" w:rsidRPr="002E6FDE" w:rsidRDefault="002E6FDE" w:rsidP="002E6FDE">
      <w:pPr>
        <w:numPr>
          <w:ilvl w:val="0"/>
          <w:numId w:val="5"/>
        </w:numPr>
        <w:spacing w:after="0"/>
        <w:jc w:val="both"/>
        <w:rPr>
          <w:rFonts w:ascii="Bookman Old Style" w:eastAsia="Times New Roman" w:hAnsi="Bookman Old Style" w:cs="Times New Roman"/>
          <w:lang w:val="pt-PT" w:eastAsia="es-ES"/>
        </w:rPr>
      </w:pPr>
      <w:r w:rsidRPr="002E6FDE">
        <w:rPr>
          <w:rFonts w:ascii="Bookman Old Style" w:eastAsia="Times New Roman" w:hAnsi="Bookman Old Style" w:cs="Times New Roman"/>
          <w:b/>
          <w:bCs/>
          <w:lang w:val="pt-PT" w:eastAsia="es-ES"/>
        </w:rPr>
        <w:t>Tatiana Vargas Pinto</w:t>
      </w:r>
      <w:r w:rsidRPr="002E6FDE">
        <w:rPr>
          <w:rFonts w:ascii="Bookman Old Style" w:eastAsia="Times New Roman" w:hAnsi="Bookman Old Style" w:cs="Times New Roman"/>
          <w:lang w:val="pt-PT" w:eastAsia="es-ES"/>
        </w:rPr>
        <w:t>, Consejera 2021–2025 (1 período)</w:t>
      </w:r>
    </w:p>
    <w:bookmarkEnd w:id="0"/>
    <w:p w14:paraId="3A08E1FC" w14:textId="77777777" w:rsidR="00C6189B" w:rsidRPr="002E6FDE" w:rsidRDefault="00C6189B" w:rsidP="002E6FDE">
      <w:pPr>
        <w:spacing w:after="0"/>
        <w:jc w:val="both"/>
        <w:rPr>
          <w:rFonts w:ascii="Bookman Old Style" w:eastAsia="Times New Roman" w:hAnsi="Bookman Old Style" w:cs="Times New Roman"/>
          <w:lang w:val="pt-PT" w:eastAsia="es-ES"/>
        </w:rPr>
      </w:pPr>
    </w:p>
    <w:sectPr w:rsidR="00C6189B" w:rsidRPr="002E6FDE" w:rsidSect="0037671E">
      <w:headerReference w:type="default" r:id="rId7"/>
      <w:pgSz w:w="12240" w:h="20160" w:code="5"/>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CB4C0" w14:textId="77777777" w:rsidR="00E912A0" w:rsidRDefault="00E912A0" w:rsidP="004F44FC">
      <w:pPr>
        <w:spacing w:after="0" w:line="240" w:lineRule="auto"/>
      </w:pPr>
      <w:r>
        <w:separator/>
      </w:r>
    </w:p>
  </w:endnote>
  <w:endnote w:type="continuationSeparator" w:id="0">
    <w:p w14:paraId="79C079D6" w14:textId="77777777" w:rsidR="00E912A0" w:rsidRDefault="00E912A0" w:rsidP="004F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39094" w14:textId="77777777" w:rsidR="00E912A0" w:rsidRDefault="00E912A0" w:rsidP="004F44FC">
      <w:pPr>
        <w:spacing w:after="0" w:line="240" w:lineRule="auto"/>
      </w:pPr>
      <w:r>
        <w:separator/>
      </w:r>
    </w:p>
  </w:footnote>
  <w:footnote w:type="continuationSeparator" w:id="0">
    <w:p w14:paraId="6D81F5C7" w14:textId="77777777" w:rsidR="00E912A0" w:rsidRDefault="00E912A0" w:rsidP="004F4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2E24" w14:textId="7A7377C9" w:rsidR="007E1B95" w:rsidRDefault="004F44FC">
    <w:pPr>
      <w:pStyle w:val="Encabezado"/>
    </w:pPr>
    <w:r>
      <w:rPr>
        <w:noProof/>
        <w14:ligatures w14:val="standardContextual"/>
      </w:rPr>
      <w:drawing>
        <wp:anchor distT="0" distB="0" distL="114300" distR="114300" simplePos="0" relativeHeight="251658240" behindDoc="0" locked="0" layoutInCell="1" allowOverlap="1" wp14:anchorId="3AC749BD" wp14:editId="456CFAEB">
          <wp:simplePos x="0" y="0"/>
          <wp:positionH relativeFrom="column">
            <wp:posOffset>424815</wp:posOffset>
          </wp:positionH>
          <wp:positionV relativeFrom="page">
            <wp:posOffset>95250</wp:posOffset>
          </wp:positionV>
          <wp:extent cx="4400550" cy="1022985"/>
          <wp:effectExtent l="0" t="0" r="0" b="5715"/>
          <wp:wrapNone/>
          <wp:docPr id="473580165" name="Imagen 1"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80165" name="Imagen 1" descr="Interfaz de usuario gráfica,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400550" cy="10229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85B71"/>
    <w:multiLevelType w:val="hybridMultilevel"/>
    <w:tmpl w:val="BE28BE68"/>
    <w:lvl w:ilvl="0" w:tplc="3AA889AE">
      <w:start w:val="1"/>
      <w:numFmt w:val="decimal"/>
      <w:lvlText w:val="%1."/>
      <w:lvlJc w:val="righ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D6229ED"/>
    <w:multiLevelType w:val="multilevel"/>
    <w:tmpl w:val="5AF24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CC1134"/>
    <w:multiLevelType w:val="hybridMultilevel"/>
    <w:tmpl w:val="A294A35A"/>
    <w:lvl w:ilvl="0" w:tplc="340A0001">
      <w:start w:val="1"/>
      <w:numFmt w:val="bullet"/>
      <w:lvlText w:val=""/>
      <w:lvlJc w:val="left"/>
      <w:pPr>
        <w:ind w:left="436" w:hanging="360"/>
      </w:pPr>
      <w:rPr>
        <w:rFonts w:ascii="Symbol" w:hAnsi="Symbol" w:hint="default"/>
      </w:rPr>
    </w:lvl>
    <w:lvl w:ilvl="1" w:tplc="340A0003" w:tentative="1">
      <w:start w:val="1"/>
      <w:numFmt w:val="bullet"/>
      <w:lvlText w:val="o"/>
      <w:lvlJc w:val="left"/>
      <w:pPr>
        <w:ind w:left="1156" w:hanging="360"/>
      </w:pPr>
      <w:rPr>
        <w:rFonts w:ascii="Courier New" w:hAnsi="Courier New" w:cs="Courier New" w:hint="default"/>
      </w:rPr>
    </w:lvl>
    <w:lvl w:ilvl="2" w:tplc="340A0005" w:tentative="1">
      <w:start w:val="1"/>
      <w:numFmt w:val="bullet"/>
      <w:lvlText w:val=""/>
      <w:lvlJc w:val="left"/>
      <w:pPr>
        <w:ind w:left="1876" w:hanging="360"/>
      </w:pPr>
      <w:rPr>
        <w:rFonts w:ascii="Wingdings" w:hAnsi="Wingdings" w:hint="default"/>
      </w:rPr>
    </w:lvl>
    <w:lvl w:ilvl="3" w:tplc="340A0001" w:tentative="1">
      <w:start w:val="1"/>
      <w:numFmt w:val="bullet"/>
      <w:lvlText w:val=""/>
      <w:lvlJc w:val="left"/>
      <w:pPr>
        <w:ind w:left="2596" w:hanging="360"/>
      </w:pPr>
      <w:rPr>
        <w:rFonts w:ascii="Symbol" w:hAnsi="Symbol" w:hint="default"/>
      </w:rPr>
    </w:lvl>
    <w:lvl w:ilvl="4" w:tplc="340A0003" w:tentative="1">
      <w:start w:val="1"/>
      <w:numFmt w:val="bullet"/>
      <w:lvlText w:val="o"/>
      <w:lvlJc w:val="left"/>
      <w:pPr>
        <w:ind w:left="3316" w:hanging="360"/>
      </w:pPr>
      <w:rPr>
        <w:rFonts w:ascii="Courier New" w:hAnsi="Courier New" w:cs="Courier New" w:hint="default"/>
      </w:rPr>
    </w:lvl>
    <w:lvl w:ilvl="5" w:tplc="340A0005" w:tentative="1">
      <w:start w:val="1"/>
      <w:numFmt w:val="bullet"/>
      <w:lvlText w:val=""/>
      <w:lvlJc w:val="left"/>
      <w:pPr>
        <w:ind w:left="4036" w:hanging="360"/>
      </w:pPr>
      <w:rPr>
        <w:rFonts w:ascii="Wingdings" w:hAnsi="Wingdings" w:hint="default"/>
      </w:rPr>
    </w:lvl>
    <w:lvl w:ilvl="6" w:tplc="340A0001" w:tentative="1">
      <w:start w:val="1"/>
      <w:numFmt w:val="bullet"/>
      <w:lvlText w:val=""/>
      <w:lvlJc w:val="left"/>
      <w:pPr>
        <w:ind w:left="4756" w:hanging="360"/>
      </w:pPr>
      <w:rPr>
        <w:rFonts w:ascii="Symbol" w:hAnsi="Symbol" w:hint="default"/>
      </w:rPr>
    </w:lvl>
    <w:lvl w:ilvl="7" w:tplc="340A0003" w:tentative="1">
      <w:start w:val="1"/>
      <w:numFmt w:val="bullet"/>
      <w:lvlText w:val="o"/>
      <w:lvlJc w:val="left"/>
      <w:pPr>
        <w:ind w:left="5476" w:hanging="360"/>
      </w:pPr>
      <w:rPr>
        <w:rFonts w:ascii="Courier New" w:hAnsi="Courier New" w:cs="Courier New" w:hint="default"/>
      </w:rPr>
    </w:lvl>
    <w:lvl w:ilvl="8" w:tplc="340A0005" w:tentative="1">
      <w:start w:val="1"/>
      <w:numFmt w:val="bullet"/>
      <w:lvlText w:val=""/>
      <w:lvlJc w:val="left"/>
      <w:pPr>
        <w:ind w:left="6196" w:hanging="360"/>
      </w:pPr>
      <w:rPr>
        <w:rFonts w:ascii="Wingdings" w:hAnsi="Wingdings" w:hint="default"/>
      </w:rPr>
    </w:lvl>
  </w:abstractNum>
  <w:abstractNum w:abstractNumId="3" w15:restartNumberingAfterBreak="0">
    <w:nsid w:val="54504331"/>
    <w:multiLevelType w:val="multilevel"/>
    <w:tmpl w:val="D4DC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A4005"/>
    <w:multiLevelType w:val="hybridMultilevel"/>
    <w:tmpl w:val="9F18C3B2"/>
    <w:lvl w:ilvl="0" w:tplc="1CE8388A">
      <w:start w:val="1"/>
      <w:numFmt w:val="decimal"/>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75004727">
    <w:abstractNumId w:val="4"/>
  </w:num>
  <w:num w:numId="2" w16cid:durableId="453182597">
    <w:abstractNumId w:val="0"/>
  </w:num>
  <w:num w:numId="3" w16cid:durableId="178782452">
    <w:abstractNumId w:val="2"/>
  </w:num>
  <w:num w:numId="4" w16cid:durableId="600530241">
    <w:abstractNumId w:val="1"/>
  </w:num>
  <w:num w:numId="5" w16cid:durableId="2004159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1E"/>
    <w:rsid w:val="00044080"/>
    <w:rsid w:val="000D3156"/>
    <w:rsid w:val="001235E4"/>
    <w:rsid w:val="0013498E"/>
    <w:rsid w:val="00210F0A"/>
    <w:rsid w:val="002460A1"/>
    <w:rsid w:val="00254944"/>
    <w:rsid w:val="00297320"/>
    <w:rsid w:val="002D2FE5"/>
    <w:rsid w:val="002E6FDE"/>
    <w:rsid w:val="00355FE7"/>
    <w:rsid w:val="0037671E"/>
    <w:rsid w:val="0038448D"/>
    <w:rsid w:val="003A3904"/>
    <w:rsid w:val="003F142F"/>
    <w:rsid w:val="004248EC"/>
    <w:rsid w:val="00495095"/>
    <w:rsid w:val="004F44FC"/>
    <w:rsid w:val="00545C81"/>
    <w:rsid w:val="00571561"/>
    <w:rsid w:val="005B02A3"/>
    <w:rsid w:val="0064322D"/>
    <w:rsid w:val="006E7D91"/>
    <w:rsid w:val="00725357"/>
    <w:rsid w:val="00734275"/>
    <w:rsid w:val="00762B04"/>
    <w:rsid w:val="00765F02"/>
    <w:rsid w:val="00770A5D"/>
    <w:rsid w:val="00770D65"/>
    <w:rsid w:val="007B66AB"/>
    <w:rsid w:val="007E1B95"/>
    <w:rsid w:val="00847E70"/>
    <w:rsid w:val="00890A82"/>
    <w:rsid w:val="0099160A"/>
    <w:rsid w:val="009959F8"/>
    <w:rsid w:val="00AD5DCE"/>
    <w:rsid w:val="00AD66BC"/>
    <w:rsid w:val="00B02389"/>
    <w:rsid w:val="00B77149"/>
    <w:rsid w:val="00BF306A"/>
    <w:rsid w:val="00C11396"/>
    <w:rsid w:val="00C6189B"/>
    <w:rsid w:val="00CC2A5B"/>
    <w:rsid w:val="00E138D3"/>
    <w:rsid w:val="00E75347"/>
    <w:rsid w:val="00E912A0"/>
    <w:rsid w:val="00E92D4D"/>
    <w:rsid w:val="00EA6A87"/>
    <w:rsid w:val="00FD5F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0662"/>
  <w15:chartTrackingRefBased/>
  <w15:docId w15:val="{E99D9B3C-BD38-4E0E-83DD-C9857AE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1E"/>
    <w:pPr>
      <w:spacing w:after="200" w:line="276" w:lineRule="auto"/>
    </w:pPr>
    <w:rPr>
      <w:kern w:val="0"/>
      <w14:ligatures w14:val="none"/>
    </w:rPr>
  </w:style>
  <w:style w:type="paragraph" w:styleId="Ttulo1">
    <w:name w:val="heading 1"/>
    <w:basedOn w:val="Normal"/>
    <w:next w:val="Normal"/>
    <w:link w:val="Ttulo1Car"/>
    <w:uiPriority w:val="9"/>
    <w:qFormat/>
    <w:rsid w:val="003767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3767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37671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37671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37671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37671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37671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37671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37671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67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767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767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767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767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767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767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767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7671E"/>
    <w:rPr>
      <w:rFonts w:eastAsiaTheme="majorEastAsia" w:cstheme="majorBidi"/>
      <w:color w:val="272727" w:themeColor="text1" w:themeTint="D8"/>
    </w:rPr>
  </w:style>
  <w:style w:type="paragraph" w:styleId="Ttulo">
    <w:name w:val="Title"/>
    <w:basedOn w:val="Normal"/>
    <w:next w:val="Normal"/>
    <w:link w:val="TtuloCar"/>
    <w:uiPriority w:val="10"/>
    <w:qFormat/>
    <w:rsid w:val="003767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3767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7671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3767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7671E"/>
    <w:pPr>
      <w:spacing w:before="160" w:after="160" w:line="259" w:lineRule="auto"/>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37671E"/>
    <w:rPr>
      <w:i/>
      <w:iCs/>
      <w:color w:val="404040" w:themeColor="text1" w:themeTint="BF"/>
    </w:rPr>
  </w:style>
  <w:style w:type="paragraph" w:styleId="Prrafodelista">
    <w:name w:val="List Paragraph"/>
    <w:basedOn w:val="Normal"/>
    <w:uiPriority w:val="34"/>
    <w:qFormat/>
    <w:rsid w:val="0037671E"/>
    <w:pPr>
      <w:spacing w:after="160" w:line="259" w:lineRule="auto"/>
      <w:ind w:left="720"/>
      <w:contextualSpacing/>
    </w:pPr>
    <w:rPr>
      <w:kern w:val="2"/>
      <w14:ligatures w14:val="standardContextual"/>
    </w:rPr>
  </w:style>
  <w:style w:type="character" w:styleId="nfasisintenso">
    <w:name w:val="Intense Emphasis"/>
    <w:basedOn w:val="Fuentedeprrafopredeter"/>
    <w:uiPriority w:val="21"/>
    <w:qFormat/>
    <w:rsid w:val="0037671E"/>
    <w:rPr>
      <w:i/>
      <w:iCs/>
      <w:color w:val="0F4761" w:themeColor="accent1" w:themeShade="BF"/>
    </w:rPr>
  </w:style>
  <w:style w:type="paragraph" w:styleId="Citadestacada">
    <w:name w:val="Intense Quote"/>
    <w:basedOn w:val="Normal"/>
    <w:next w:val="Normal"/>
    <w:link w:val="CitadestacadaCar"/>
    <w:uiPriority w:val="30"/>
    <w:qFormat/>
    <w:rsid w:val="0037671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37671E"/>
    <w:rPr>
      <w:i/>
      <w:iCs/>
      <w:color w:val="0F4761" w:themeColor="accent1" w:themeShade="BF"/>
    </w:rPr>
  </w:style>
  <w:style w:type="character" w:styleId="Referenciaintensa">
    <w:name w:val="Intense Reference"/>
    <w:basedOn w:val="Fuentedeprrafopredeter"/>
    <w:uiPriority w:val="32"/>
    <w:qFormat/>
    <w:rsid w:val="0037671E"/>
    <w:rPr>
      <w:b/>
      <w:bCs/>
      <w:smallCaps/>
      <w:color w:val="0F4761" w:themeColor="accent1" w:themeShade="BF"/>
      <w:spacing w:val="5"/>
    </w:rPr>
  </w:style>
  <w:style w:type="paragraph" w:styleId="Encabezado">
    <w:name w:val="header"/>
    <w:basedOn w:val="Normal"/>
    <w:link w:val="EncabezadoCar"/>
    <w:uiPriority w:val="99"/>
    <w:unhideWhenUsed/>
    <w:rsid w:val="003767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71E"/>
    <w:rPr>
      <w:kern w:val="0"/>
      <w14:ligatures w14:val="none"/>
    </w:rPr>
  </w:style>
  <w:style w:type="paragraph" w:styleId="Piedepgina">
    <w:name w:val="footer"/>
    <w:basedOn w:val="Normal"/>
    <w:link w:val="PiedepginaCar"/>
    <w:uiPriority w:val="99"/>
    <w:unhideWhenUsed/>
    <w:rsid w:val="004F44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44F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1993">
      <w:bodyDiv w:val="1"/>
      <w:marLeft w:val="0"/>
      <w:marRight w:val="0"/>
      <w:marTop w:val="0"/>
      <w:marBottom w:val="0"/>
      <w:divBdr>
        <w:top w:val="none" w:sz="0" w:space="0" w:color="auto"/>
        <w:left w:val="none" w:sz="0" w:space="0" w:color="auto"/>
        <w:bottom w:val="none" w:sz="0" w:space="0" w:color="auto"/>
        <w:right w:val="none" w:sz="0" w:space="0" w:color="auto"/>
      </w:divBdr>
    </w:div>
    <w:div w:id="159216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1516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Secretario1</dc:creator>
  <cp:keywords/>
  <dc:description/>
  <cp:lastModifiedBy>Ana María Carbone</cp:lastModifiedBy>
  <cp:revision>2</cp:revision>
  <cp:lastPrinted>2025-07-14T17:15:00Z</cp:lastPrinted>
  <dcterms:created xsi:type="dcterms:W3CDTF">2025-07-28T20:59:00Z</dcterms:created>
  <dcterms:modified xsi:type="dcterms:W3CDTF">2025-07-28T20:59:00Z</dcterms:modified>
</cp:coreProperties>
</file>