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DE92E" w14:textId="09D72426" w:rsidR="009707A8" w:rsidRDefault="009707A8" w:rsidP="006A1B46">
      <w:pPr>
        <w:spacing w:line="276" w:lineRule="auto"/>
        <w:jc w:val="center"/>
        <w:rPr>
          <w:rFonts w:ascii="Garamond" w:hAnsi="Garamond"/>
        </w:rPr>
      </w:pPr>
      <w:r w:rsidRPr="006A1B46">
        <w:rPr>
          <w:rFonts w:ascii="Garamond" w:hAnsi="Garamond"/>
        </w:rPr>
        <w:t>INTERVENCION</w:t>
      </w:r>
    </w:p>
    <w:p w14:paraId="18478F64" w14:textId="77777777" w:rsidR="006A1B46" w:rsidRDefault="006A1B46" w:rsidP="006A1B46">
      <w:pPr>
        <w:spacing w:after="0" w:line="276" w:lineRule="auto"/>
        <w:jc w:val="center"/>
        <w:rPr>
          <w:rFonts w:ascii="Garamond" w:hAnsi="Garamond"/>
        </w:rPr>
      </w:pPr>
      <w:r w:rsidRPr="006A1B46">
        <w:rPr>
          <w:rFonts w:ascii="Garamond" w:hAnsi="Garamond"/>
        </w:rPr>
        <w:t>Rafael Ferrada Henríquez</w:t>
      </w:r>
    </w:p>
    <w:p w14:paraId="2A54F4FE" w14:textId="3E552AA0" w:rsidR="006A1B46" w:rsidRPr="006A1B46" w:rsidRDefault="006A1B46" w:rsidP="00731048">
      <w:pPr>
        <w:spacing w:after="0" w:line="276" w:lineRule="auto"/>
        <w:jc w:val="center"/>
        <w:rPr>
          <w:rFonts w:ascii="Garamond" w:hAnsi="Garamond"/>
        </w:rPr>
      </w:pPr>
      <w:r>
        <w:rPr>
          <w:rFonts w:ascii="Garamond" w:hAnsi="Garamond"/>
        </w:rPr>
        <w:t>Consejero Colegio de Abogados de Chile</w:t>
      </w:r>
    </w:p>
    <w:p w14:paraId="152FC8C2" w14:textId="57073567" w:rsidR="009707A8" w:rsidRPr="00731048" w:rsidRDefault="009707A8" w:rsidP="006A1B46">
      <w:pPr>
        <w:spacing w:line="276" w:lineRule="auto"/>
        <w:jc w:val="center"/>
        <w:rPr>
          <w:rFonts w:ascii="Garamond" w:hAnsi="Garamond"/>
          <w:b/>
          <w:bCs/>
        </w:rPr>
      </w:pPr>
      <w:r w:rsidRPr="00731048">
        <w:rPr>
          <w:rFonts w:ascii="Garamond" w:hAnsi="Garamond"/>
          <w:b/>
          <w:bCs/>
        </w:rPr>
        <w:t>SEMINARIO SOBRE ACCESO A LA JUSTICIA</w:t>
      </w:r>
    </w:p>
    <w:p w14:paraId="7EEE8EBC" w14:textId="3BD2A72A" w:rsidR="009707A8" w:rsidRPr="006A1B46" w:rsidRDefault="009707A8" w:rsidP="006A1B46">
      <w:pPr>
        <w:spacing w:line="276" w:lineRule="auto"/>
        <w:jc w:val="both"/>
        <w:rPr>
          <w:rFonts w:ascii="Garamond" w:hAnsi="Garamond"/>
          <w:b/>
          <w:bCs/>
        </w:rPr>
      </w:pPr>
      <w:r w:rsidRPr="006A1B46">
        <w:rPr>
          <w:rFonts w:ascii="Garamond" w:hAnsi="Garamond"/>
          <w:b/>
          <w:bCs/>
        </w:rPr>
        <w:t>“El rol de la profesión jurídica en la garantía del acceso a la justicia y los desafíos éticos y profesionales que plantea la nueva institucionalidad.”</w:t>
      </w:r>
    </w:p>
    <w:p w14:paraId="6B8ACB1C" w14:textId="1BFCB718" w:rsidR="003C431D" w:rsidRPr="006A1B46" w:rsidRDefault="00FC09E5" w:rsidP="006A1B46">
      <w:pPr>
        <w:spacing w:line="276" w:lineRule="auto"/>
        <w:jc w:val="both"/>
        <w:rPr>
          <w:rFonts w:ascii="Garamond" w:hAnsi="Garamond"/>
        </w:rPr>
      </w:pPr>
      <w:r w:rsidRPr="006A1B46">
        <w:rPr>
          <w:rFonts w:ascii="Garamond" w:hAnsi="Garamond"/>
        </w:rPr>
        <w:t xml:space="preserve">Quisiera partir con una pregunta sencilla, pero </w:t>
      </w:r>
      <w:r w:rsidR="005E2EB5" w:rsidRPr="006A1B46">
        <w:rPr>
          <w:rFonts w:ascii="Garamond" w:hAnsi="Garamond"/>
        </w:rPr>
        <w:t>difícil</w:t>
      </w:r>
      <w:r w:rsidRPr="006A1B46">
        <w:rPr>
          <w:rFonts w:ascii="Garamond" w:hAnsi="Garamond"/>
        </w:rPr>
        <w:t xml:space="preserve">: </w:t>
      </w:r>
      <w:r w:rsidRPr="006A1B46">
        <w:rPr>
          <w:rFonts w:ascii="Garamond" w:hAnsi="Garamond"/>
          <w:b/>
          <w:bCs/>
        </w:rPr>
        <w:t>¿tenemos realmente acceso a la justicia en Chile, o solo acceso a un sistema?</w:t>
      </w:r>
      <w:r w:rsidRPr="006A1B46">
        <w:rPr>
          <w:rFonts w:ascii="Garamond" w:hAnsi="Garamond"/>
        </w:rPr>
        <w:t xml:space="preserve"> Porque no es lo mismo.</w:t>
      </w:r>
    </w:p>
    <w:p w14:paraId="6351C60B" w14:textId="72C2C455" w:rsidR="00FC09E5" w:rsidRPr="006A1B46" w:rsidRDefault="00FC09E5" w:rsidP="006A1B46">
      <w:pPr>
        <w:spacing w:line="276" w:lineRule="auto"/>
        <w:jc w:val="both"/>
        <w:rPr>
          <w:rFonts w:ascii="Garamond" w:hAnsi="Garamond"/>
        </w:rPr>
      </w:pPr>
      <w:r w:rsidRPr="006A1B46">
        <w:rPr>
          <w:rFonts w:ascii="Garamond" w:hAnsi="Garamond"/>
        </w:rPr>
        <w:t xml:space="preserve">En nuestro país, la </w:t>
      </w:r>
      <w:r w:rsidRPr="006A1B46">
        <w:rPr>
          <w:rFonts w:ascii="Garamond" w:hAnsi="Garamond"/>
          <w:b/>
          <w:bCs/>
          <w:u w:val="single"/>
        </w:rPr>
        <w:t>encuesta</w:t>
      </w:r>
      <w:r w:rsidRPr="006A1B46">
        <w:rPr>
          <w:rFonts w:ascii="Garamond" w:hAnsi="Garamond"/>
        </w:rPr>
        <w:t xml:space="preserve"> IPSOS de 2026 reveló que el 75% cree que, si no se tienen los recursos económicos, es muy difícil lograr justicia. A su vez, la encuesta ICSO UDP de 2025 concluyó que tres de cada cuatro personas —un 74,8%— están en desacuerdo o muy en desacuerdo con que el sistema de justicia chileno sea equitativo para todas las personas, percepción que se agudiza cuando se trata de la diferenciación de trato, ya que un 73,4% considera que el sistema judicial aplica criterios distintos para juzgar a ricos y pobres. Más aún, un 83,7% de los encuestados cree que el dinero y los contactos influyen en los resultados de los juicios, mientras que un 80,1% considera que contar con abogados influyentes marca una diferencia decisiva en las sentencias.</w:t>
      </w:r>
    </w:p>
    <w:p w14:paraId="532778EC" w14:textId="77777777" w:rsidR="00FC09E5" w:rsidRPr="006A1B46" w:rsidRDefault="00FC09E5" w:rsidP="006A1B46">
      <w:pPr>
        <w:spacing w:line="276" w:lineRule="auto"/>
        <w:jc w:val="both"/>
        <w:rPr>
          <w:rFonts w:ascii="Garamond" w:hAnsi="Garamond"/>
        </w:rPr>
      </w:pPr>
      <w:r w:rsidRPr="006A1B46">
        <w:rPr>
          <w:rFonts w:ascii="Garamond" w:hAnsi="Garamond"/>
        </w:rPr>
        <w:t>Esto revela una realidad incómoda, pero también el principal desafío que hoy enfrenta el sistema y el nuevo servicio que comienza a implementarse, obligándonos a hacernos cargo de este diagnóstico si queremos construir un sistema eficiente, creíble y que efectivamente haga justicia.</w:t>
      </w:r>
    </w:p>
    <w:p w14:paraId="173B0609" w14:textId="4C8D1DEA" w:rsidR="003C431D" w:rsidRPr="006A1B46" w:rsidRDefault="00FC09E5" w:rsidP="006A1B46">
      <w:pPr>
        <w:spacing w:line="276" w:lineRule="auto"/>
        <w:jc w:val="both"/>
        <w:rPr>
          <w:rFonts w:ascii="Garamond" w:hAnsi="Garamond"/>
        </w:rPr>
      </w:pPr>
      <w:r w:rsidRPr="006A1B46">
        <w:rPr>
          <w:rFonts w:ascii="Garamond" w:hAnsi="Garamond"/>
        </w:rPr>
        <w:t xml:space="preserve">John Rawls planteaba que una sociedad justa es aquella que elegiríamos tras un “velo de ignorancia”, sin saber qué posición ocuparemos en ella, de modo que son las instituciones —como las que hoy estamos presentes— las llamadas a corregir las desigualdades existentes en la sociedad. Duncan Kennedy, en cambio, propone una mirada más crítica, cuestionando la neutralidad del derecho, de las normas y de sus instituciones. </w:t>
      </w:r>
    </w:p>
    <w:p w14:paraId="6FE80747" w14:textId="77777777" w:rsidR="005E2EB5" w:rsidRPr="006A1B46" w:rsidRDefault="00272888" w:rsidP="006A1B46">
      <w:pPr>
        <w:spacing w:line="276" w:lineRule="auto"/>
        <w:jc w:val="both"/>
        <w:rPr>
          <w:rFonts w:ascii="Garamond" w:hAnsi="Garamond"/>
        </w:rPr>
      </w:pPr>
      <w:r w:rsidRPr="006A1B46">
        <w:rPr>
          <w:rFonts w:ascii="Garamond" w:hAnsi="Garamond"/>
        </w:rPr>
        <w:t>Esto no es solo una discusión teórica.</w:t>
      </w:r>
    </w:p>
    <w:p w14:paraId="0219532C" w14:textId="77777777" w:rsidR="005E2EB5" w:rsidRPr="006A1B46" w:rsidRDefault="00272888" w:rsidP="006A1B46">
      <w:pPr>
        <w:spacing w:line="276" w:lineRule="auto"/>
        <w:jc w:val="both"/>
        <w:rPr>
          <w:rFonts w:ascii="Garamond" w:hAnsi="Garamond"/>
        </w:rPr>
      </w:pPr>
      <w:r w:rsidRPr="006A1B46">
        <w:rPr>
          <w:rFonts w:ascii="Garamond" w:hAnsi="Garamond"/>
        </w:rPr>
        <w:t>Se traduce en algo muy concreto: en cómo las personas viven el sistema de justicia.</w:t>
      </w:r>
    </w:p>
    <w:p w14:paraId="41215D2A" w14:textId="209877B5" w:rsidR="00272888" w:rsidRPr="006A1B46" w:rsidRDefault="00272888" w:rsidP="006A1B46">
      <w:pPr>
        <w:spacing w:line="276" w:lineRule="auto"/>
        <w:jc w:val="both"/>
        <w:rPr>
          <w:rFonts w:ascii="Garamond" w:hAnsi="Garamond"/>
        </w:rPr>
      </w:pPr>
      <w:r w:rsidRPr="006A1B46">
        <w:rPr>
          <w:rFonts w:ascii="Garamond" w:hAnsi="Garamond"/>
        </w:rPr>
        <w:t>Porque si las instituciones no corrigen desigualdades, el sistema termina reproduciéndolas. Y eso es precisamente lo que hoy nos están diciendo las encuestas.</w:t>
      </w:r>
    </w:p>
    <w:p w14:paraId="4EAF301F" w14:textId="1435217E" w:rsidR="003C431D" w:rsidRPr="006A1B46" w:rsidRDefault="00FC09E5" w:rsidP="006A1B46">
      <w:pPr>
        <w:spacing w:line="276" w:lineRule="auto"/>
        <w:jc w:val="both"/>
        <w:rPr>
          <w:rFonts w:ascii="Garamond" w:hAnsi="Garamond"/>
        </w:rPr>
      </w:pPr>
      <w:r w:rsidRPr="006A1B46">
        <w:rPr>
          <w:rFonts w:ascii="Garamond" w:hAnsi="Garamond"/>
        </w:rPr>
        <w:t xml:space="preserve">Entre ambas visiones se sitúa el problema que enfrentamos, porque el acceso a la justicia no es solo una cuestión de justicia material en el resultado concreto, sino también una expresión de </w:t>
      </w:r>
      <w:r w:rsidRPr="006A1B46">
        <w:rPr>
          <w:rFonts w:ascii="Garamond" w:hAnsi="Garamond"/>
          <w:b/>
          <w:bCs/>
        </w:rPr>
        <w:t>justicia social</w:t>
      </w:r>
      <w:r w:rsidRPr="006A1B46">
        <w:rPr>
          <w:rFonts w:ascii="Garamond" w:hAnsi="Garamond"/>
        </w:rPr>
        <w:t>, en cuanto permite reducir desigualdades y asegurar el acceso efectivo a uno de los derechos más básicos. Por eso, lo concebimos como un derecho humano que puede ser exigible por parte de los ciudadanos al Estado.</w:t>
      </w:r>
    </w:p>
    <w:p w14:paraId="027194E8" w14:textId="0C2C5670" w:rsidR="003066A2" w:rsidRPr="006A1B46" w:rsidRDefault="00FC09E5" w:rsidP="006A1B46">
      <w:pPr>
        <w:spacing w:line="276" w:lineRule="auto"/>
        <w:jc w:val="both"/>
        <w:rPr>
          <w:rFonts w:ascii="Garamond" w:hAnsi="Garamond"/>
        </w:rPr>
      </w:pPr>
      <w:r w:rsidRPr="006A1B46">
        <w:rPr>
          <w:rFonts w:ascii="Garamond" w:hAnsi="Garamond"/>
        </w:rPr>
        <w:t xml:space="preserve">Hoy, en nuestro país, </w:t>
      </w:r>
      <w:r w:rsidRPr="006A1B46">
        <w:rPr>
          <w:rFonts w:ascii="Garamond" w:hAnsi="Garamond"/>
          <w:b/>
          <w:bCs/>
        </w:rPr>
        <w:t>miles de personas pueden ingresar al sistema judicial, pero no todas obtienen una defensa de calidad,</w:t>
      </w:r>
      <w:r w:rsidRPr="006A1B46">
        <w:rPr>
          <w:rFonts w:ascii="Garamond" w:hAnsi="Garamond"/>
        </w:rPr>
        <w:t xml:space="preserve"> ni oportuna, ni eficaz. Nuestro sistema descansa sobre la labor inconmensurable —y muy valorable— de las Corporaciones de Asistencia Judicial, que atienden cientos de miles de personas al año, superando incluso el millón de atenciones a nivel nacional, pero lo hacen en condiciones complejas, con altas cargas por profesional, una fuerte dependencia del trabajo de postulantes y demoras estructurales que debemos abordar en conjunto. A ello se suma que Chile presenta altas tasas de judicialización en materias como familia y laboral, junto con niveles relevantes de abandono de causas, baja satisfacción de usuarios vulnerables y una percepción persistente de desigualdad ante la ley, lo que en la práctica se traduce en que quien puede pagar accede mejor, mientras quien no puede </w:t>
      </w:r>
      <w:r w:rsidR="005E2EB5" w:rsidRPr="006A1B46">
        <w:rPr>
          <w:rFonts w:ascii="Garamond" w:hAnsi="Garamond"/>
        </w:rPr>
        <w:t>depender</w:t>
      </w:r>
      <w:r w:rsidRPr="006A1B46">
        <w:rPr>
          <w:rFonts w:ascii="Garamond" w:hAnsi="Garamond"/>
        </w:rPr>
        <w:t xml:space="preserve"> de un sistema sobrecargado.</w:t>
      </w:r>
      <w:r w:rsidR="00272888" w:rsidRPr="006A1B46">
        <w:rPr>
          <w:rFonts w:ascii="Garamond" w:hAnsi="Garamond"/>
        </w:rPr>
        <w:t xml:space="preserve"> </w:t>
      </w:r>
      <w:r w:rsidR="003066A2" w:rsidRPr="006A1B46">
        <w:rPr>
          <w:rFonts w:ascii="Garamond" w:hAnsi="Garamond"/>
        </w:rPr>
        <w:t>Y esto tiene consecuencias prácticas. Significa tiempos de espera prolongados. Significa menor dedicación por causa. Significa, muchas veces, una defensa que no alcanza los estándares que el propio sistema exige.</w:t>
      </w:r>
    </w:p>
    <w:p w14:paraId="7653F4D9" w14:textId="39A57292" w:rsidR="003C431D" w:rsidRPr="006A1B46" w:rsidRDefault="00FC09E5" w:rsidP="006A1B46">
      <w:pPr>
        <w:spacing w:line="276" w:lineRule="auto"/>
        <w:jc w:val="both"/>
        <w:rPr>
          <w:rFonts w:ascii="Garamond" w:hAnsi="Garamond"/>
        </w:rPr>
      </w:pPr>
      <w:r w:rsidRPr="006A1B46">
        <w:rPr>
          <w:rFonts w:ascii="Garamond" w:hAnsi="Garamond"/>
        </w:rPr>
        <w:t>Esto genera una brecha evidente entre acceso formal y acceso real a la justicia, y esa brecha, en definitiva, la pagan los sectores más vulnerables.</w:t>
      </w:r>
    </w:p>
    <w:p w14:paraId="22211786" w14:textId="25AD779A" w:rsidR="00FC09E5" w:rsidRPr="006A1B46" w:rsidRDefault="00FC09E5" w:rsidP="006A1B46">
      <w:pPr>
        <w:spacing w:line="276" w:lineRule="auto"/>
        <w:jc w:val="both"/>
        <w:rPr>
          <w:rFonts w:ascii="Garamond" w:hAnsi="Garamond"/>
          <w:b/>
          <w:bCs/>
        </w:rPr>
      </w:pPr>
      <w:r w:rsidRPr="006A1B46">
        <w:rPr>
          <w:rFonts w:ascii="Garamond" w:hAnsi="Garamond"/>
          <w:b/>
          <w:bCs/>
        </w:rPr>
        <w:t>Colegio de Abogados.</w:t>
      </w:r>
    </w:p>
    <w:p w14:paraId="3B41EECA" w14:textId="5F0E442A" w:rsidR="00FC09E5" w:rsidRPr="006A1B46" w:rsidRDefault="00FC09E5" w:rsidP="006A1B46">
      <w:pPr>
        <w:spacing w:line="276" w:lineRule="auto"/>
        <w:jc w:val="both"/>
        <w:rPr>
          <w:rFonts w:ascii="Garamond" w:hAnsi="Garamond"/>
        </w:rPr>
      </w:pPr>
      <w:r w:rsidRPr="006A1B46">
        <w:rPr>
          <w:rFonts w:ascii="Garamond" w:hAnsi="Garamond"/>
        </w:rPr>
        <w:t xml:space="preserve">En este punto, resulta necesaria una autocrítica como profesión. Hasta 1980, el sistema de acceso a la justicia descansaba en el Colegio de Abogados de Chile, que en ese entonces era una institución de derecho público, por lo cual estaba orientada al cumplimiento de una función pública como es el servicio del bien común. La ley 4.409 de 1928, que regulaba el Colegio de Abogados, establecía en su artículo 13 que los bienes debían destinarse a mantener consultorios jurídicos gratuitos para personas de escasos recursos, de modo que el Colegio no solo regulaba el ejercicio profesional, sino que también asumía directamente el acceso a la justicia. Esto se materializaba a través del </w:t>
      </w:r>
      <w:r w:rsidRPr="006A1B46">
        <w:rPr>
          <w:rFonts w:ascii="Garamond" w:hAnsi="Garamond"/>
          <w:b/>
          <w:bCs/>
        </w:rPr>
        <w:t>Servicio de Asistencia Judicial</w:t>
      </w:r>
      <w:r w:rsidRPr="006A1B46">
        <w:rPr>
          <w:rFonts w:ascii="Garamond" w:hAnsi="Garamond"/>
        </w:rPr>
        <w:t>, mediante un sistema organizado de atención gratuita, oficinas de asistencia y derivación de causas, todo sustentado en una idea fundamental: ser abogado implicaba cargas públicas, no solo derechos.</w:t>
      </w:r>
    </w:p>
    <w:p w14:paraId="6B729705" w14:textId="7561A71E" w:rsidR="00FC09E5" w:rsidRPr="006A1B46" w:rsidRDefault="00FC09E5" w:rsidP="006A1B46">
      <w:pPr>
        <w:spacing w:line="276" w:lineRule="auto"/>
        <w:jc w:val="both"/>
        <w:rPr>
          <w:rFonts w:ascii="Garamond" w:hAnsi="Garamond"/>
        </w:rPr>
      </w:pPr>
      <w:r w:rsidRPr="006A1B46">
        <w:rPr>
          <w:rFonts w:ascii="Garamond" w:hAnsi="Garamond"/>
        </w:rPr>
        <w:t xml:space="preserve">Este modelo era posible porque el Colegio contaba con </w:t>
      </w:r>
      <w:r w:rsidRPr="006A1B46">
        <w:rPr>
          <w:rFonts w:ascii="Garamond" w:hAnsi="Garamond"/>
          <w:b/>
          <w:bCs/>
        </w:rPr>
        <w:t>atribuciones y financiamiento</w:t>
      </w:r>
      <w:r w:rsidRPr="006A1B46">
        <w:rPr>
          <w:rFonts w:ascii="Garamond" w:hAnsi="Garamond"/>
        </w:rPr>
        <w:t xml:space="preserve"> que hoy no existen, en un contexto de colegiatura obligatoria, lo que permitía imponer deberes, organizar el sistema y asegurar una cobertura mínima</w:t>
      </w:r>
      <w:r w:rsidR="004F089B" w:rsidRPr="006A1B46">
        <w:rPr>
          <w:rFonts w:ascii="Garamond" w:hAnsi="Garamond"/>
        </w:rPr>
        <w:t xml:space="preserve"> en un Chile distinto</w:t>
      </w:r>
      <w:r w:rsidRPr="006A1B46">
        <w:rPr>
          <w:rFonts w:ascii="Garamond" w:hAnsi="Garamond"/>
        </w:rPr>
        <w:t xml:space="preserve">. No era solo un gremio, sino una institución que regulaba la ética profesional de manera </w:t>
      </w:r>
      <w:r w:rsidR="00731048" w:rsidRPr="006A1B46">
        <w:rPr>
          <w:rFonts w:ascii="Garamond" w:hAnsi="Garamond"/>
        </w:rPr>
        <w:t>universal</w:t>
      </w:r>
      <w:r w:rsidR="006A1B46" w:rsidRPr="006A1B46">
        <w:rPr>
          <w:rFonts w:ascii="Garamond" w:hAnsi="Garamond"/>
        </w:rPr>
        <w:t xml:space="preserve"> participaba</w:t>
      </w:r>
      <w:r w:rsidRPr="006A1B46">
        <w:rPr>
          <w:rFonts w:ascii="Garamond" w:hAnsi="Garamond"/>
        </w:rPr>
        <w:t xml:space="preserve"> en nombramientos y cumplía funciones de interés público, existiendo un reconocimiento claro del deber social del abogado. Este esquema cambia en dictadura, al eliminarse la colegiatura obligatoria y transformarse los colegios en entidades de derecho privado, produciéndose un cambio de paradigma: el acceso a la justicia deja de ser un deber del abogado y pasa a ser un deber netamente del Estado, descansando en las corporaciones de asistencia judicial, que son fragmentadas</w:t>
      </w:r>
      <w:r w:rsidR="003C431D" w:rsidRPr="006A1B46">
        <w:rPr>
          <w:rFonts w:ascii="Garamond" w:hAnsi="Garamond"/>
        </w:rPr>
        <w:t xml:space="preserve"> a nivel nacional</w:t>
      </w:r>
      <w:r w:rsidRPr="006A1B46">
        <w:rPr>
          <w:rFonts w:ascii="Garamond" w:hAnsi="Garamond"/>
        </w:rPr>
        <w:t>.</w:t>
      </w:r>
    </w:p>
    <w:p w14:paraId="26187A47" w14:textId="313DEDE0" w:rsidR="00FC09E5" w:rsidRPr="006A1B46" w:rsidRDefault="00FC09E5" w:rsidP="006A1B46">
      <w:pPr>
        <w:spacing w:line="276" w:lineRule="auto"/>
        <w:jc w:val="both"/>
        <w:rPr>
          <w:rFonts w:ascii="Garamond" w:hAnsi="Garamond"/>
        </w:rPr>
      </w:pPr>
      <w:r w:rsidRPr="006A1B46">
        <w:rPr>
          <w:rFonts w:ascii="Garamond" w:hAnsi="Garamond"/>
        </w:rPr>
        <w:t xml:space="preserve">Sin embargo, ello no implica que la profesión jurídica pueda desentenderse completamente. Nuestro propio estatuto sigue reconociendo una responsabilidad en esta materia, al establecer que debemos crear y mantener oficinas de atención jurídica para personas de escasos recursos, conforme al artículo 32 letra m), aunque en la práctica esta dimensión ha sido escasamente desarrollada, por problemas de financiamiento y de voluntad, pese a </w:t>
      </w:r>
      <w:r w:rsidR="004F089B" w:rsidRPr="006A1B46">
        <w:rPr>
          <w:rFonts w:ascii="Garamond" w:hAnsi="Garamond"/>
        </w:rPr>
        <w:t xml:space="preserve">los </w:t>
      </w:r>
      <w:r w:rsidRPr="006A1B46">
        <w:rPr>
          <w:rFonts w:ascii="Garamond" w:hAnsi="Garamond"/>
        </w:rPr>
        <w:t>avances recientes</w:t>
      </w:r>
      <w:r w:rsidR="004F089B" w:rsidRPr="006A1B46">
        <w:rPr>
          <w:rFonts w:ascii="Garamond" w:hAnsi="Garamond"/>
        </w:rPr>
        <w:t xml:space="preserve"> que existen</w:t>
      </w:r>
      <w:r w:rsidRPr="006A1B46">
        <w:rPr>
          <w:rFonts w:ascii="Garamond" w:hAnsi="Garamond"/>
        </w:rPr>
        <w:t xml:space="preserve">. En este contexto, la creación del Servicio Nacional de Acceso a la Justicia y Defensoría de </w:t>
      </w:r>
      <w:r w:rsidR="00F25EA3" w:rsidRPr="006A1B46">
        <w:rPr>
          <w:rFonts w:ascii="Garamond" w:hAnsi="Garamond"/>
        </w:rPr>
        <w:t>Víctimas</w:t>
      </w:r>
      <w:r w:rsidRPr="006A1B46">
        <w:rPr>
          <w:rFonts w:ascii="Garamond" w:hAnsi="Garamond"/>
        </w:rPr>
        <w:t xml:space="preserve"> constituye un avance relevante, en cuya discusión hemos participado activamente, promoviendo además espacios de diálogo con estudiantes y con instituciones como esta Excelentísima Corte Suprema.</w:t>
      </w:r>
    </w:p>
    <w:p w14:paraId="1417B928" w14:textId="04767EC3" w:rsidR="00FC09E5" w:rsidRPr="006A1B46" w:rsidRDefault="00FC09E5" w:rsidP="006A1B46">
      <w:pPr>
        <w:spacing w:line="276" w:lineRule="auto"/>
        <w:jc w:val="both"/>
        <w:rPr>
          <w:rFonts w:ascii="Garamond" w:hAnsi="Garamond"/>
        </w:rPr>
      </w:pPr>
      <w:r w:rsidRPr="006A1B46">
        <w:rPr>
          <w:rFonts w:ascii="Garamond" w:hAnsi="Garamond"/>
        </w:rPr>
        <w:t xml:space="preserve">Queremos, en consecuencia, iniciar una nueva etapa. El acceso a la </w:t>
      </w:r>
      <w:r w:rsidRPr="006A1B46">
        <w:rPr>
          <w:rFonts w:ascii="Garamond" w:hAnsi="Garamond"/>
          <w:b/>
          <w:bCs/>
        </w:rPr>
        <w:t>justicia no puede ser solo estatal</w:t>
      </w:r>
      <w:r w:rsidRPr="006A1B46">
        <w:rPr>
          <w:rFonts w:ascii="Garamond" w:hAnsi="Garamond"/>
        </w:rPr>
        <w:t>, sino que debe ser el resultado de una articulación entre diversas instituciones, donde los Colegios de Abogados y cada abogado en particular asuma un rol activo.</w:t>
      </w:r>
    </w:p>
    <w:p w14:paraId="618B453B" w14:textId="229E66D2" w:rsidR="00FC09E5" w:rsidRPr="006A1B46" w:rsidRDefault="00FC09E5" w:rsidP="006A1B46">
      <w:pPr>
        <w:spacing w:line="276" w:lineRule="auto"/>
        <w:jc w:val="both"/>
        <w:rPr>
          <w:rFonts w:ascii="Garamond" w:hAnsi="Garamond"/>
        </w:rPr>
      </w:pPr>
      <w:r w:rsidRPr="006A1B46">
        <w:rPr>
          <w:rFonts w:ascii="Garamond" w:hAnsi="Garamond"/>
        </w:rPr>
        <w:t>En este contexto, el nuevo servicio constituye un avance institucional relevante, no solo porque permite superar un modelo fragmentado, sino porque introduce un enfoque centrado en las personas, en el cual el acceso a la justicia deja de entenderse exclusivamente como litigio y pasa a concebirse como un proceso integral, que incluye orientación temprana, representación efectiva, apoyo social y mecanismos colaborativos de resolución de conflictos, donde el poder judicial se ha esforzado en lo mismo. Sin embargo, este modelo no funcionará sin un cambio en la profesión jurídica, porque el abogado no es solo un técnico del derecho, sino la puerta de entrada al sistema, y muchas veces esa puerta define si el sistema funciona o fracasa.</w:t>
      </w:r>
    </w:p>
    <w:p w14:paraId="42804329" w14:textId="6C33B6B7" w:rsidR="00FC09E5" w:rsidRPr="006A1B46" w:rsidRDefault="00FC09E5" w:rsidP="006A1B46">
      <w:pPr>
        <w:spacing w:line="276" w:lineRule="auto"/>
        <w:jc w:val="both"/>
        <w:rPr>
          <w:rFonts w:ascii="Garamond" w:hAnsi="Garamond"/>
          <w:b/>
          <w:bCs/>
        </w:rPr>
      </w:pPr>
      <w:r w:rsidRPr="006A1B46">
        <w:rPr>
          <w:rFonts w:ascii="Garamond" w:hAnsi="Garamond"/>
          <w:b/>
          <w:bCs/>
        </w:rPr>
        <w:t>Ética en el acceso a la justicia.</w:t>
      </w:r>
    </w:p>
    <w:p w14:paraId="76AEA1A9" w14:textId="77777777" w:rsidR="005E2EB5" w:rsidRPr="006A1B46" w:rsidRDefault="00FC09E5" w:rsidP="006A1B46">
      <w:pPr>
        <w:spacing w:line="276" w:lineRule="auto"/>
        <w:jc w:val="both"/>
        <w:rPr>
          <w:rFonts w:ascii="Garamond" w:hAnsi="Garamond"/>
        </w:rPr>
      </w:pPr>
      <w:r w:rsidRPr="006A1B46">
        <w:rPr>
          <w:rFonts w:ascii="Garamond" w:hAnsi="Garamond"/>
        </w:rPr>
        <w:t xml:space="preserve">Aquí aparece la dimensión ética. El acceso a la justicia no es solo un problema institucional, sino también ético. El </w:t>
      </w:r>
      <w:r w:rsidRPr="006A1B46">
        <w:rPr>
          <w:rFonts w:ascii="Garamond" w:hAnsi="Garamond"/>
          <w:b/>
          <w:bCs/>
        </w:rPr>
        <w:t xml:space="preserve">Código de Ética </w:t>
      </w:r>
      <w:r w:rsidRPr="006A1B46">
        <w:rPr>
          <w:rFonts w:ascii="Garamond" w:hAnsi="Garamond"/>
        </w:rPr>
        <w:t xml:space="preserve">de nuestra profesión es claro al establecer el deber de promover la correcta administración de justicia, la lealtad con el cliente y la actuación con honradez, integridad y buena fe. </w:t>
      </w:r>
    </w:p>
    <w:p w14:paraId="5F43718C" w14:textId="176772DF" w:rsidR="00FC09E5" w:rsidRPr="006A1B46" w:rsidRDefault="00FC09E5" w:rsidP="006A1B46">
      <w:pPr>
        <w:spacing w:line="276" w:lineRule="auto"/>
        <w:jc w:val="both"/>
        <w:rPr>
          <w:rFonts w:ascii="Garamond" w:hAnsi="Garamond"/>
        </w:rPr>
      </w:pPr>
      <w:r w:rsidRPr="006A1B46">
        <w:rPr>
          <w:rFonts w:ascii="Garamond" w:hAnsi="Garamond"/>
        </w:rPr>
        <w:t xml:space="preserve">Además, establece en </w:t>
      </w:r>
      <w:r w:rsidR="00272888" w:rsidRPr="006A1B46">
        <w:rPr>
          <w:rFonts w:ascii="Garamond" w:hAnsi="Garamond"/>
        </w:rPr>
        <w:t>su</w:t>
      </w:r>
      <w:r w:rsidRPr="006A1B46">
        <w:rPr>
          <w:rFonts w:ascii="Garamond" w:hAnsi="Garamond"/>
        </w:rPr>
        <w:t xml:space="preserve"> </w:t>
      </w:r>
      <w:r w:rsidR="00272888" w:rsidRPr="006A1B46">
        <w:rPr>
          <w:rFonts w:ascii="Garamond" w:hAnsi="Garamond"/>
        </w:rPr>
        <w:t xml:space="preserve">artículo </w:t>
      </w:r>
      <w:r w:rsidRPr="006A1B46">
        <w:rPr>
          <w:rFonts w:ascii="Garamond" w:hAnsi="Garamond"/>
        </w:rPr>
        <w:t xml:space="preserve">44 </w:t>
      </w:r>
      <w:r w:rsidR="005E2EB5" w:rsidRPr="006A1B46">
        <w:rPr>
          <w:rFonts w:ascii="Garamond" w:hAnsi="Garamond"/>
        </w:rPr>
        <w:t>que es</w:t>
      </w:r>
      <w:r w:rsidRPr="006A1B46">
        <w:rPr>
          <w:rFonts w:ascii="Garamond" w:hAnsi="Garamond"/>
        </w:rPr>
        <w:t xml:space="preserve"> responsabilidad del abogado, en la medida de sus posibilidades, prestar servicios gratuitos en favor de la comunidad y asistir a quienes no pueden hacerse de asistencia letrada por sus medios.</w:t>
      </w:r>
    </w:p>
    <w:p w14:paraId="073C2668" w14:textId="5F8465A8" w:rsidR="00272888" w:rsidRPr="006A1B46" w:rsidRDefault="00FC09E5" w:rsidP="006A1B46">
      <w:pPr>
        <w:spacing w:line="276" w:lineRule="auto"/>
        <w:jc w:val="both"/>
        <w:rPr>
          <w:rFonts w:ascii="Garamond" w:hAnsi="Garamond"/>
        </w:rPr>
      </w:pPr>
      <w:r w:rsidRPr="006A1B46">
        <w:rPr>
          <w:rFonts w:ascii="Garamond" w:hAnsi="Garamond"/>
        </w:rPr>
        <w:t xml:space="preserve"> </w:t>
      </w:r>
      <w:r w:rsidR="00272888" w:rsidRPr="006A1B46">
        <w:rPr>
          <w:rFonts w:ascii="Garamond" w:hAnsi="Garamond"/>
        </w:rPr>
        <w:t>Por eso, la ética profesional no puede entenderse solo como un conjunto de normas disciplinarias. Es, en realidad, una forma de garantizar el acceso a la justicia.</w:t>
      </w:r>
    </w:p>
    <w:p w14:paraId="299A0D25" w14:textId="77777777" w:rsidR="00272888" w:rsidRPr="006A1B46" w:rsidRDefault="00272888" w:rsidP="006A1B46">
      <w:pPr>
        <w:spacing w:line="276" w:lineRule="auto"/>
        <w:jc w:val="both"/>
        <w:rPr>
          <w:rFonts w:ascii="Garamond" w:hAnsi="Garamond"/>
        </w:rPr>
      </w:pPr>
      <w:r w:rsidRPr="006A1B46">
        <w:rPr>
          <w:rFonts w:ascii="Garamond" w:hAnsi="Garamond"/>
        </w:rPr>
        <w:t>Porque cada decisión que toma un abogado —aceptar o no un caso, el tiempo que le dedica, la calidad de su trabajo— impacta directamente en la posibilidad real de una persona de ejercer sus derechos.</w:t>
      </w:r>
    </w:p>
    <w:p w14:paraId="53838783" w14:textId="77777777" w:rsidR="005E2EB5" w:rsidRPr="006A1B46" w:rsidRDefault="00FC09E5" w:rsidP="006A1B46">
      <w:pPr>
        <w:spacing w:line="276" w:lineRule="auto"/>
        <w:jc w:val="both"/>
        <w:rPr>
          <w:rFonts w:ascii="Garamond" w:hAnsi="Garamond"/>
        </w:rPr>
      </w:pPr>
      <w:r w:rsidRPr="006A1B46">
        <w:rPr>
          <w:rFonts w:ascii="Garamond" w:hAnsi="Garamond"/>
        </w:rPr>
        <w:t xml:space="preserve">Estas normas no son abstractas, sino condiciones concretas para que el sistema funcione. Pero debemos pensar como hacer que cada abogado y abogada internalice este deber </w:t>
      </w:r>
      <w:r w:rsidR="00272888" w:rsidRPr="006A1B46">
        <w:rPr>
          <w:rFonts w:ascii="Garamond" w:hAnsi="Garamond"/>
        </w:rPr>
        <w:t xml:space="preserve">ético </w:t>
      </w:r>
      <w:r w:rsidR="003C431D" w:rsidRPr="006A1B46">
        <w:rPr>
          <w:rFonts w:ascii="Garamond" w:hAnsi="Garamond"/>
        </w:rPr>
        <w:t>y</w:t>
      </w:r>
      <w:r w:rsidRPr="006A1B46">
        <w:rPr>
          <w:rFonts w:ascii="Garamond" w:hAnsi="Garamond"/>
        </w:rPr>
        <w:t xml:space="preserve"> </w:t>
      </w:r>
      <w:r w:rsidR="005E2EB5" w:rsidRPr="006A1B46">
        <w:rPr>
          <w:rFonts w:ascii="Garamond" w:hAnsi="Garamond"/>
        </w:rPr>
        <w:t>cómo</w:t>
      </w:r>
      <w:r w:rsidRPr="006A1B46">
        <w:rPr>
          <w:rFonts w:ascii="Garamond" w:hAnsi="Garamond"/>
        </w:rPr>
        <w:t xml:space="preserve"> hacerlo exigible. </w:t>
      </w:r>
    </w:p>
    <w:p w14:paraId="63726EA8" w14:textId="77F28DB2" w:rsidR="003C431D" w:rsidRDefault="00FC09E5" w:rsidP="006A1B46">
      <w:pPr>
        <w:spacing w:line="276" w:lineRule="auto"/>
        <w:jc w:val="both"/>
        <w:rPr>
          <w:rFonts w:ascii="Garamond" w:hAnsi="Garamond"/>
        </w:rPr>
      </w:pPr>
      <w:r w:rsidRPr="006A1B46">
        <w:rPr>
          <w:rFonts w:ascii="Garamond" w:hAnsi="Garamond"/>
        </w:rPr>
        <w:t>Cuando nos enfrentamos a una sociedad cada vez más individualista, la solidaridad es difícil de transmitir en nuestra profesión, siendo que es básico para el fin último al cual servimos, que es la justicia.</w:t>
      </w:r>
    </w:p>
    <w:p w14:paraId="16207244" w14:textId="77777777" w:rsidR="00731048" w:rsidRDefault="00731048" w:rsidP="006A1B46">
      <w:pPr>
        <w:spacing w:line="276" w:lineRule="auto"/>
        <w:jc w:val="both"/>
        <w:rPr>
          <w:rFonts w:ascii="Garamond" w:hAnsi="Garamond"/>
        </w:rPr>
      </w:pPr>
    </w:p>
    <w:p w14:paraId="3D0AA7EA" w14:textId="77777777" w:rsidR="00731048" w:rsidRPr="006A1B46" w:rsidRDefault="00731048" w:rsidP="006A1B46">
      <w:pPr>
        <w:spacing w:line="276" w:lineRule="auto"/>
        <w:jc w:val="both"/>
        <w:rPr>
          <w:rFonts w:ascii="Garamond" w:hAnsi="Garamond"/>
        </w:rPr>
      </w:pPr>
    </w:p>
    <w:p w14:paraId="04FA28EE" w14:textId="6E2C085D" w:rsidR="00FC09E5" w:rsidRPr="006A1B46" w:rsidRDefault="00FC09E5" w:rsidP="006A1B46">
      <w:pPr>
        <w:spacing w:line="276" w:lineRule="auto"/>
        <w:jc w:val="both"/>
        <w:rPr>
          <w:rFonts w:ascii="Garamond" w:hAnsi="Garamond"/>
        </w:rPr>
      </w:pPr>
      <w:r w:rsidRPr="006A1B46">
        <w:rPr>
          <w:rFonts w:ascii="Garamond" w:hAnsi="Garamond"/>
          <w:b/>
          <w:bCs/>
        </w:rPr>
        <w:t>Postulantes</w:t>
      </w:r>
      <w:r w:rsidRPr="006A1B46">
        <w:rPr>
          <w:rFonts w:ascii="Garamond" w:hAnsi="Garamond"/>
        </w:rPr>
        <w:t>.</w:t>
      </w:r>
    </w:p>
    <w:p w14:paraId="31F2DD03" w14:textId="4E0F7C3B" w:rsidR="00FC09E5" w:rsidRPr="006A1B46" w:rsidRDefault="00FC09E5" w:rsidP="006A1B46">
      <w:pPr>
        <w:spacing w:line="276" w:lineRule="auto"/>
        <w:jc w:val="both"/>
        <w:rPr>
          <w:rFonts w:ascii="Garamond" w:hAnsi="Garamond"/>
        </w:rPr>
      </w:pPr>
      <w:r w:rsidRPr="006A1B46">
        <w:rPr>
          <w:rFonts w:ascii="Garamond" w:hAnsi="Garamond"/>
        </w:rPr>
        <w:t>En este contexto, también es necesario referirse a los postulantes, respecto de los cuales el Colegio propuso establecer una regulación que asegure un trato digno</w:t>
      </w:r>
      <w:r w:rsidR="00272888" w:rsidRPr="006A1B46">
        <w:rPr>
          <w:rFonts w:ascii="Garamond" w:hAnsi="Garamond"/>
        </w:rPr>
        <w:t xml:space="preserve"> en el Senado, propuesta que fue trabajada con los centro de estudiantes y que fue recogida posteriormente en el debate legislativo</w:t>
      </w:r>
      <w:r w:rsidRPr="006A1B46">
        <w:rPr>
          <w:rFonts w:ascii="Garamond" w:hAnsi="Garamond"/>
        </w:rPr>
        <w:t xml:space="preserve">. Todos quienes estamos aquí fuimos postulantes, atendimos usuarios, redactamos escritos y conocimos directamente la realidad de las personas más vulnerables, pero también experimentamos condiciones de precariedad, con sobrecarga y limitaciones de infraestructura y a veces abuso en el trato por parte de jefaturas o usuarios. El nuevo sistema busca corregir esto, lo que resulta clave, porque el trato que reciban hoy </w:t>
      </w:r>
      <w:r w:rsidR="00272888" w:rsidRPr="006A1B46">
        <w:rPr>
          <w:rFonts w:ascii="Garamond" w:hAnsi="Garamond"/>
        </w:rPr>
        <w:t xml:space="preserve">los postulantes </w:t>
      </w:r>
      <w:r w:rsidRPr="006A1B46">
        <w:rPr>
          <w:rFonts w:ascii="Garamond" w:hAnsi="Garamond"/>
        </w:rPr>
        <w:t>define a los abogados del mañana.</w:t>
      </w:r>
    </w:p>
    <w:p w14:paraId="6762552F" w14:textId="66816436" w:rsidR="005E2EB5" w:rsidRPr="006A1B46" w:rsidRDefault="00FC09E5" w:rsidP="006A1B46">
      <w:pPr>
        <w:spacing w:line="276" w:lineRule="auto"/>
        <w:jc w:val="both"/>
        <w:rPr>
          <w:rFonts w:ascii="Garamond" w:hAnsi="Garamond"/>
        </w:rPr>
      </w:pPr>
      <w:r w:rsidRPr="006A1B46">
        <w:rPr>
          <w:rFonts w:ascii="Garamond" w:hAnsi="Garamond"/>
        </w:rPr>
        <w:t xml:space="preserve">Si queremos un sistema robusto, debemos fortalecer su base, y esa base está en la formación y condiciones en que se desempeñan los postulantes. Por ello, debemos avanzar hacia un modelo </w:t>
      </w:r>
      <w:r w:rsidRPr="006A1B46">
        <w:rPr>
          <w:rFonts w:ascii="Garamond" w:hAnsi="Garamond"/>
          <w:b/>
          <w:bCs/>
        </w:rPr>
        <w:t>corresponsable</w:t>
      </w:r>
      <w:r w:rsidRPr="006A1B46">
        <w:rPr>
          <w:rFonts w:ascii="Garamond" w:hAnsi="Garamond"/>
        </w:rPr>
        <w:t xml:space="preserve">, en que el Estado siga siendo garante, pero no el único actor, lo que implica fortalecer el rol público del Colegio, incentivar el trabajo </w:t>
      </w:r>
      <w:r w:rsidR="00F25EA3" w:rsidRPr="006A1B46">
        <w:rPr>
          <w:rFonts w:ascii="Garamond" w:hAnsi="Garamond"/>
        </w:rPr>
        <w:t>Probono</w:t>
      </w:r>
      <w:r w:rsidRPr="006A1B46">
        <w:rPr>
          <w:rFonts w:ascii="Garamond" w:hAnsi="Garamond"/>
        </w:rPr>
        <w:t>, establecer sistemas de colaboración estructurada y promover alianzas con universidades, clínicas jurídicas</w:t>
      </w:r>
      <w:r w:rsidR="00272888" w:rsidRPr="006A1B46">
        <w:rPr>
          <w:rFonts w:ascii="Garamond" w:hAnsi="Garamond"/>
        </w:rPr>
        <w:t>,</w:t>
      </w:r>
      <w:r w:rsidRPr="006A1B46">
        <w:rPr>
          <w:rFonts w:ascii="Garamond" w:hAnsi="Garamond"/>
        </w:rPr>
        <w:t xml:space="preserve"> estudios</w:t>
      </w:r>
      <w:r w:rsidR="00272888" w:rsidRPr="006A1B46">
        <w:rPr>
          <w:rFonts w:ascii="Garamond" w:hAnsi="Garamond"/>
        </w:rPr>
        <w:t xml:space="preserve"> y municipios</w:t>
      </w:r>
      <w:r w:rsidRPr="006A1B46">
        <w:rPr>
          <w:rFonts w:ascii="Garamond" w:hAnsi="Garamond"/>
        </w:rPr>
        <w:t>.</w:t>
      </w:r>
    </w:p>
    <w:p w14:paraId="6977AE92" w14:textId="61E82483" w:rsidR="003C431D" w:rsidRPr="006A1B46" w:rsidRDefault="003C431D" w:rsidP="006A1B46">
      <w:pPr>
        <w:spacing w:line="276" w:lineRule="auto"/>
        <w:jc w:val="both"/>
        <w:rPr>
          <w:rFonts w:ascii="Garamond" w:hAnsi="Garamond"/>
          <w:b/>
          <w:bCs/>
        </w:rPr>
      </w:pPr>
      <w:r w:rsidRPr="006A1B46">
        <w:rPr>
          <w:rFonts w:ascii="Garamond" w:hAnsi="Garamond"/>
          <w:b/>
          <w:bCs/>
        </w:rPr>
        <w:t>CIERRE</w:t>
      </w:r>
    </w:p>
    <w:p w14:paraId="4C6E27F0" w14:textId="4383F226" w:rsidR="00FC09E5" w:rsidRPr="006A1B46" w:rsidRDefault="00FC09E5" w:rsidP="006A1B46">
      <w:pPr>
        <w:spacing w:line="276" w:lineRule="auto"/>
        <w:jc w:val="both"/>
        <w:rPr>
          <w:rFonts w:ascii="Garamond" w:hAnsi="Garamond"/>
        </w:rPr>
      </w:pPr>
      <w:r w:rsidRPr="006A1B46">
        <w:rPr>
          <w:rFonts w:ascii="Garamond" w:hAnsi="Garamond"/>
        </w:rPr>
        <w:t xml:space="preserve">Finalmente, quisiera señalar dos desafíos éticos. El </w:t>
      </w:r>
      <w:r w:rsidRPr="006A1B46">
        <w:rPr>
          <w:rFonts w:ascii="Garamond" w:hAnsi="Garamond"/>
          <w:b/>
          <w:bCs/>
        </w:rPr>
        <w:t>primero</w:t>
      </w:r>
      <w:r w:rsidR="00272888" w:rsidRPr="006A1B46">
        <w:rPr>
          <w:rFonts w:ascii="Garamond" w:hAnsi="Garamond"/>
        </w:rPr>
        <w:t xml:space="preserve">, </w:t>
      </w:r>
      <w:r w:rsidR="005E2EB5" w:rsidRPr="006A1B46">
        <w:rPr>
          <w:rFonts w:ascii="Garamond" w:hAnsi="Garamond"/>
        </w:rPr>
        <w:t>debemos superar</w:t>
      </w:r>
      <w:r w:rsidRPr="006A1B46">
        <w:rPr>
          <w:rFonts w:ascii="Garamond" w:hAnsi="Garamond"/>
        </w:rPr>
        <w:t xml:space="preserve"> una concepción meramente formal del ejercicio profesional, porque no basta con cumplir las normas, sino que </w:t>
      </w:r>
      <w:r w:rsidRPr="006A1B46">
        <w:rPr>
          <w:rFonts w:ascii="Garamond" w:hAnsi="Garamond"/>
          <w:b/>
          <w:bCs/>
        </w:rPr>
        <w:t>el estándar es garantizar el ejercicio efectivo de los derechos</w:t>
      </w:r>
      <w:r w:rsidRPr="006A1B46">
        <w:rPr>
          <w:rFonts w:ascii="Garamond" w:hAnsi="Garamond"/>
        </w:rPr>
        <w:t xml:space="preserve">. El </w:t>
      </w:r>
      <w:r w:rsidRPr="006A1B46">
        <w:rPr>
          <w:rFonts w:ascii="Garamond" w:hAnsi="Garamond"/>
          <w:b/>
          <w:bCs/>
        </w:rPr>
        <w:t>segundo</w:t>
      </w:r>
      <w:r w:rsidRPr="006A1B46">
        <w:rPr>
          <w:rFonts w:ascii="Garamond" w:hAnsi="Garamond"/>
        </w:rPr>
        <w:t xml:space="preserve"> es asumir que la desigualdad en el acceso a la justicia no es abstracta, sino concreta, y se expresa en cada caso, de modo que cuando trabajamos con personas en situación de vulnerabilidad, el estándar ético no disminuye, sino que aumenta.</w:t>
      </w:r>
    </w:p>
    <w:p w14:paraId="38FF10EF" w14:textId="77777777" w:rsidR="00FC09E5" w:rsidRPr="006A1B46" w:rsidRDefault="00FC09E5" w:rsidP="006A1B46">
      <w:pPr>
        <w:spacing w:line="276" w:lineRule="auto"/>
        <w:jc w:val="both"/>
        <w:rPr>
          <w:rFonts w:ascii="Garamond" w:hAnsi="Garamond"/>
        </w:rPr>
      </w:pPr>
      <w:r w:rsidRPr="006A1B46">
        <w:rPr>
          <w:rFonts w:ascii="Garamond" w:hAnsi="Garamond"/>
        </w:rPr>
        <w:t>Podemos crear nuevas instituciones y dictar mejores leyes, pero si no enfrentamos la desigualdad estructural en el acceso a la justicia, el problema va a persistir, porque la verdad es simple: en Chile hay quienes litigan con todas las herramientas, y quienes apenas logran defenderse, y esa brecha no es compatible con un Estado de Derecho robusto. El desafío, entonces, no es solo mejorar el sistema, sino hacerlo justo, lo que exige compromiso, del Estado, pero también de la profesión jurídica.</w:t>
      </w:r>
    </w:p>
    <w:p w14:paraId="5648A6AE" w14:textId="77777777" w:rsidR="006A1B46" w:rsidRPr="006A1B46" w:rsidRDefault="006A1B46" w:rsidP="006A1B46">
      <w:pPr>
        <w:spacing w:after="0" w:line="276" w:lineRule="auto"/>
        <w:jc w:val="both"/>
        <w:rPr>
          <w:rFonts w:ascii="Garamond" w:hAnsi="Garamond"/>
        </w:rPr>
      </w:pPr>
    </w:p>
    <w:p w14:paraId="2F7523A5" w14:textId="12AD19AA" w:rsidR="00F25EA3" w:rsidRPr="006A1B46" w:rsidRDefault="00F25EA3" w:rsidP="006A1B46">
      <w:pPr>
        <w:spacing w:after="0" w:line="276" w:lineRule="auto"/>
        <w:jc w:val="both"/>
        <w:rPr>
          <w:rFonts w:ascii="Garamond" w:hAnsi="Garamond"/>
        </w:rPr>
      </w:pPr>
      <w:r w:rsidRPr="006A1B46">
        <w:rPr>
          <w:rFonts w:ascii="Garamond" w:hAnsi="Garamond"/>
        </w:rPr>
        <w:t>31 de marzo 2026.-</w:t>
      </w:r>
    </w:p>
    <w:sectPr w:rsidR="00F25EA3" w:rsidRPr="006A1B4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A19D7" w14:textId="77777777" w:rsidR="00275DAB" w:rsidRDefault="00275DAB" w:rsidP="005E2EB5">
      <w:pPr>
        <w:spacing w:after="0" w:line="240" w:lineRule="auto"/>
      </w:pPr>
      <w:r>
        <w:separator/>
      </w:r>
    </w:p>
  </w:endnote>
  <w:endnote w:type="continuationSeparator" w:id="0">
    <w:p w14:paraId="59B896F8" w14:textId="77777777" w:rsidR="00275DAB" w:rsidRDefault="00275DAB" w:rsidP="005E2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5332888"/>
      <w:docPartObj>
        <w:docPartGallery w:val="Page Numbers (Bottom of Page)"/>
        <w:docPartUnique/>
      </w:docPartObj>
    </w:sdtPr>
    <w:sdtEndPr/>
    <w:sdtContent>
      <w:p w14:paraId="0C129220" w14:textId="6FFFB9B3" w:rsidR="005E2EB5" w:rsidRDefault="005E2EB5">
        <w:pPr>
          <w:pStyle w:val="Piedepgina"/>
          <w:jc w:val="right"/>
        </w:pPr>
        <w:r>
          <w:fldChar w:fldCharType="begin"/>
        </w:r>
        <w:r>
          <w:instrText>PAGE   \* MERGEFORMAT</w:instrText>
        </w:r>
        <w:r>
          <w:fldChar w:fldCharType="separate"/>
        </w:r>
        <w:r>
          <w:rPr>
            <w:lang w:val="es-ES"/>
          </w:rPr>
          <w:t>2</w:t>
        </w:r>
        <w:r>
          <w:fldChar w:fldCharType="end"/>
        </w:r>
      </w:p>
    </w:sdtContent>
  </w:sdt>
  <w:p w14:paraId="2B67F44E" w14:textId="77777777" w:rsidR="005E2EB5" w:rsidRDefault="005E2E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C940D" w14:textId="77777777" w:rsidR="00275DAB" w:rsidRDefault="00275DAB" w:rsidP="005E2EB5">
      <w:pPr>
        <w:spacing w:after="0" w:line="240" w:lineRule="auto"/>
      </w:pPr>
      <w:r>
        <w:separator/>
      </w:r>
    </w:p>
  </w:footnote>
  <w:footnote w:type="continuationSeparator" w:id="0">
    <w:p w14:paraId="6BFFAEBD" w14:textId="77777777" w:rsidR="00275DAB" w:rsidRDefault="00275DAB" w:rsidP="005E2E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80C"/>
    <w:multiLevelType w:val="multilevel"/>
    <w:tmpl w:val="783E7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83F56"/>
    <w:multiLevelType w:val="multilevel"/>
    <w:tmpl w:val="1EFA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95FDE"/>
    <w:multiLevelType w:val="multilevel"/>
    <w:tmpl w:val="287ED7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610ED9"/>
    <w:multiLevelType w:val="multilevel"/>
    <w:tmpl w:val="B252A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1766E9"/>
    <w:multiLevelType w:val="multilevel"/>
    <w:tmpl w:val="9F40F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95D6E"/>
    <w:multiLevelType w:val="multilevel"/>
    <w:tmpl w:val="0318F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4B4A56"/>
    <w:multiLevelType w:val="multilevel"/>
    <w:tmpl w:val="1C647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4F396A"/>
    <w:multiLevelType w:val="multilevel"/>
    <w:tmpl w:val="C97E7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A6334B"/>
    <w:multiLevelType w:val="multilevel"/>
    <w:tmpl w:val="E062A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377D8C"/>
    <w:multiLevelType w:val="multilevel"/>
    <w:tmpl w:val="90B2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9041DE"/>
    <w:multiLevelType w:val="multilevel"/>
    <w:tmpl w:val="25B86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FA2E9A"/>
    <w:multiLevelType w:val="multilevel"/>
    <w:tmpl w:val="EAF8F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065306"/>
    <w:multiLevelType w:val="multilevel"/>
    <w:tmpl w:val="A1969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DD0154"/>
    <w:multiLevelType w:val="multilevel"/>
    <w:tmpl w:val="55A8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653F54"/>
    <w:multiLevelType w:val="multilevel"/>
    <w:tmpl w:val="6F14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F63446"/>
    <w:multiLevelType w:val="multilevel"/>
    <w:tmpl w:val="33222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EF3B43"/>
    <w:multiLevelType w:val="multilevel"/>
    <w:tmpl w:val="52D4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C82342"/>
    <w:multiLevelType w:val="multilevel"/>
    <w:tmpl w:val="8EBAF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335168"/>
    <w:multiLevelType w:val="multilevel"/>
    <w:tmpl w:val="81FC3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48656E"/>
    <w:multiLevelType w:val="multilevel"/>
    <w:tmpl w:val="0270B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E1582D"/>
    <w:multiLevelType w:val="multilevel"/>
    <w:tmpl w:val="16B6B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C5655C"/>
    <w:multiLevelType w:val="multilevel"/>
    <w:tmpl w:val="90BE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612841"/>
    <w:multiLevelType w:val="multilevel"/>
    <w:tmpl w:val="F822E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E422E1"/>
    <w:multiLevelType w:val="multilevel"/>
    <w:tmpl w:val="A1F0E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6842836">
    <w:abstractNumId w:val="5"/>
  </w:num>
  <w:num w:numId="2" w16cid:durableId="730230983">
    <w:abstractNumId w:val="4"/>
  </w:num>
  <w:num w:numId="3" w16cid:durableId="1184130622">
    <w:abstractNumId w:val="8"/>
  </w:num>
  <w:num w:numId="4" w16cid:durableId="1210726474">
    <w:abstractNumId w:val="11"/>
  </w:num>
  <w:num w:numId="5" w16cid:durableId="1823497988">
    <w:abstractNumId w:val="12"/>
  </w:num>
  <w:num w:numId="6" w16cid:durableId="595750425">
    <w:abstractNumId w:val="21"/>
  </w:num>
  <w:num w:numId="7" w16cid:durableId="1973944332">
    <w:abstractNumId w:val="22"/>
  </w:num>
  <w:num w:numId="8" w16cid:durableId="2362399">
    <w:abstractNumId w:val="1"/>
  </w:num>
  <w:num w:numId="9" w16cid:durableId="1442994290">
    <w:abstractNumId w:val="9"/>
  </w:num>
  <w:num w:numId="10" w16cid:durableId="222638449">
    <w:abstractNumId w:val="20"/>
  </w:num>
  <w:num w:numId="11" w16cid:durableId="1106851501">
    <w:abstractNumId w:val="0"/>
  </w:num>
  <w:num w:numId="12" w16cid:durableId="1447119220">
    <w:abstractNumId w:val="15"/>
  </w:num>
  <w:num w:numId="13" w16cid:durableId="2132094004">
    <w:abstractNumId w:val="13"/>
  </w:num>
  <w:num w:numId="14" w16cid:durableId="383020187">
    <w:abstractNumId w:val="7"/>
  </w:num>
  <w:num w:numId="15" w16cid:durableId="1332953010">
    <w:abstractNumId w:val="14"/>
  </w:num>
  <w:num w:numId="16" w16cid:durableId="104932143">
    <w:abstractNumId w:val="17"/>
  </w:num>
  <w:num w:numId="17" w16cid:durableId="1944065844">
    <w:abstractNumId w:val="6"/>
  </w:num>
  <w:num w:numId="18" w16cid:durableId="1370256815">
    <w:abstractNumId w:val="19"/>
  </w:num>
  <w:num w:numId="19" w16cid:durableId="290288294">
    <w:abstractNumId w:val="2"/>
  </w:num>
  <w:num w:numId="20" w16cid:durableId="932595104">
    <w:abstractNumId w:val="3"/>
  </w:num>
  <w:num w:numId="21" w16cid:durableId="604267518">
    <w:abstractNumId w:val="16"/>
  </w:num>
  <w:num w:numId="22" w16cid:durableId="834686361">
    <w:abstractNumId w:val="18"/>
  </w:num>
  <w:num w:numId="23" w16cid:durableId="2026322522">
    <w:abstractNumId w:val="10"/>
  </w:num>
  <w:num w:numId="24" w16cid:durableId="204355458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C0F"/>
    <w:rsid w:val="0003338D"/>
    <w:rsid w:val="000A59B8"/>
    <w:rsid w:val="001655BB"/>
    <w:rsid w:val="0024671B"/>
    <w:rsid w:val="00272888"/>
    <w:rsid w:val="00275DAB"/>
    <w:rsid w:val="003066A2"/>
    <w:rsid w:val="00312544"/>
    <w:rsid w:val="003C431D"/>
    <w:rsid w:val="004F089B"/>
    <w:rsid w:val="00526CCA"/>
    <w:rsid w:val="005E2EB5"/>
    <w:rsid w:val="00623B12"/>
    <w:rsid w:val="006A1B46"/>
    <w:rsid w:val="006C5764"/>
    <w:rsid w:val="00731048"/>
    <w:rsid w:val="00794448"/>
    <w:rsid w:val="008A339D"/>
    <w:rsid w:val="008B7C0F"/>
    <w:rsid w:val="00904D34"/>
    <w:rsid w:val="0092045B"/>
    <w:rsid w:val="009533E4"/>
    <w:rsid w:val="009707A8"/>
    <w:rsid w:val="00B02BA0"/>
    <w:rsid w:val="00B36657"/>
    <w:rsid w:val="00BA1A45"/>
    <w:rsid w:val="00DE3CA3"/>
    <w:rsid w:val="00E947F4"/>
    <w:rsid w:val="00EB1881"/>
    <w:rsid w:val="00EB7113"/>
    <w:rsid w:val="00EE04B6"/>
    <w:rsid w:val="00F25EA3"/>
    <w:rsid w:val="00F37EBE"/>
    <w:rsid w:val="00FC09E5"/>
    <w:rsid w:val="00FC1C2B"/>
    <w:rsid w:val="00FE1CC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BF5E4"/>
  <w15:chartTrackingRefBased/>
  <w15:docId w15:val="{15FE8E07-5FED-446E-9F7E-04BC45EAB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B7C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B7C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B7C0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B7C0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B7C0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B7C0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B7C0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B7C0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B7C0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7C0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B7C0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B7C0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B7C0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B7C0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B7C0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B7C0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B7C0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B7C0F"/>
    <w:rPr>
      <w:rFonts w:eastAsiaTheme="majorEastAsia" w:cstheme="majorBidi"/>
      <w:color w:val="272727" w:themeColor="text1" w:themeTint="D8"/>
    </w:rPr>
  </w:style>
  <w:style w:type="paragraph" w:styleId="Ttulo">
    <w:name w:val="Title"/>
    <w:basedOn w:val="Normal"/>
    <w:next w:val="Normal"/>
    <w:link w:val="TtuloCar"/>
    <w:uiPriority w:val="10"/>
    <w:qFormat/>
    <w:rsid w:val="008B7C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B7C0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B7C0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B7C0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B7C0F"/>
    <w:pPr>
      <w:spacing w:before="160"/>
      <w:jc w:val="center"/>
    </w:pPr>
    <w:rPr>
      <w:i/>
      <w:iCs/>
      <w:color w:val="404040" w:themeColor="text1" w:themeTint="BF"/>
    </w:rPr>
  </w:style>
  <w:style w:type="character" w:customStyle="1" w:styleId="CitaCar">
    <w:name w:val="Cita Car"/>
    <w:basedOn w:val="Fuentedeprrafopredeter"/>
    <w:link w:val="Cita"/>
    <w:uiPriority w:val="29"/>
    <w:rsid w:val="008B7C0F"/>
    <w:rPr>
      <w:i/>
      <w:iCs/>
      <w:color w:val="404040" w:themeColor="text1" w:themeTint="BF"/>
    </w:rPr>
  </w:style>
  <w:style w:type="paragraph" w:styleId="Prrafodelista">
    <w:name w:val="List Paragraph"/>
    <w:basedOn w:val="Normal"/>
    <w:uiPriority w:val="34"/>
    <w:qFormat/>
    <w:rsid w:val="008B7C0F"/>
    <w:pPr>
      <w:ind w:left="720"/>
      <w:contextualSpacing/>
    </w:pPr>
  </w:style>
  <w:style w:type="character" w:styleId="nfasisintenso">
    <w:name w:val="Intense Emphasis"/>
    <w:basedOn w:val="Fuentedeprrafopredeter"/>
    <w:uiPriority w:val="21"/>
    <w:qFormat/>
    <w:rsid w:val="008B7C0F"/>
    <w:rPr>
      <w:i/>
      <w:iCs/>
      <w:color w:val="0F4761" w:themeColor="accent1" w:themeShade="BF"/>
    </w:rPr>
  </w:style>
  <w:style w:type="paragraph" w:styleId="Citadestacada">
    <w:name w:val="Intense Quote"/>
    <w:basedOn w:val="Normal"/>
    <w:next w:val="Normal"/>
    <w:link w:val="CitadestacadaCar"/>
    <w:uiPriority w:val="30"/>
    <w:qFormat/>
    <w:rsid w:val="008B7C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B7C0F"/>
    <w:rPr>
      <w:i/>
      <w:iCs/>
      <w:color w:val="0F4761" w:themeColor="accent1" w:themeShade="BF"/>
    </w:rPr>
  </w:style>
  <w:style w:type="character" w:styleId="Referenciaintensa">
    <w:name w:val="Intense Reference"/>
    <w:basedOn w:val="Fuentedeprrafopredeter"/>
    <w:uiPriority w:val="32"/>
    <w:qFormat/>
    <w:rsid w:val="008B7C0F"/>
    <w:rPr>
      <w:b/>
      <w:bCs/>
      <w:smallCaps/>
      <w:color w:val="0F4761" w:themeColor="accent1" w:themeShade="BF"/>
      <w:spacing w:val="5"/>
    </w:rPr>
  </w:style>
  <w:style w:type="paragraph" w:styleId="NormalWeb">
    <w:name w:val="Normal (Web)"/>
    <w:basedOn w:val="Normal"/>
    <w:uiPriority w:val="99"/>
    <w:semiHidden/>
    <w:unhideWhenUsed/>
    <w:rsid w:val="00B02BA0"/>
    <w:pPr>
      <w:spacing w:before="100" w:beforeAutospacing="1" w:after="100" w:afterAutospacing="1" w:line="240" w:lineRule="auto"/>
    </w:pPr>
    <w:rPr>
      <w:rFonts w:ascii="Times New Roman" w:eastAsia="Times New Roman" w:hAnsi="Times New Roman" w:cs="Times New Roman"/>
      <w:kern w:val="0"/>
      <w:lang w:eastAsia="es-CL"/>
      <w14:ligatures w14:val="none"/>
    </w:rPr>
  </w:style>
  <w:style w:type="paragraph" w:styleId="Encabezado">
    <w:name w:val="header"/>
    <w:basedOn w:val="Normal"/>
    <w:link w:val="EncabezadoCar"/>
    <w:uiPriority w:val="99"/>
    <w:unhideWhenUsed/>
    <w:rsid w:val="005E2E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2EB5"/>
  </w:style>
  <w:style w:type="paragraph" w:styleId="Piedepgina">
    <w:name w:val="footer"/>
    <w:basedOn w:val="Normal"/>
    <w:link w:val="PiedepginaCar"/>
    <w:uiPriority w:val="99"/>
    <w:unhideWhenUsed/>
    <w:rsid w:val="005E2E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2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1711</Words>
  <Characters>9412</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Alejandro Ferrada Henriquez</dc:creator>
  <cp:keywords/>
  <dc:description/>
  <cp:lastModifiedBy>Ana María Carbone</cp:lastModifiedBy>
  <cp:revision>2</cp:revision>
  <cp:lastPrinted>2026-03-31T13:19:00Z</cp:lastPrinted>
  <dcterms:created xsi:type="dcterms:W3CDTF">2026-04-01T15:11:00Z</dcterms:created>
  <dcterms:modified xsi:type="dcterms:W3CDTF">2026-04-01T15:11:00Z</dcterms:modified>
</cp:coreProperties>
</file>