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AA84" w14:textId="1EEA3EEE" w:rsidR="00DD0576" w:rsidRDefault="00DD0576" w:rsidP="00FE4595">
      <w:pPr>
        <w:spacing w:after="0" w:line="276" w:lineRule="auto"/>
        <w:ind w:right="-425"/>
        <w:jc w:val="center"/>
        <w:rPr>
          <w:rFonts w:ascii="Calibri" w:hAnsi="Calibri" w:cs="Calibri"/>
          <w:b/>
          <w:bCs/>
          <w:smallCaps/>
          <w:sz w:val="22"/>
          <w:szCs w:val="22"/>
        </w:rPr>
      </w:pPr>
      <w:r>
        <w:rPr>
          <w:rFonts w:ascii="Calibri" w:hAnsi="Calibri" w:cs="Calibri"/>
          <w:b/>
          <w:bCs/>
          <w:smallCaps/>
          <w:sz w:val="22"/>
          <w:szCs w:val="22"/>
        </w:rPr>
        <w:t>DECLARACIÓN PÚBLICA</w:t>
      </w:r>
    </w:p>
    <w:p w14:paraId="42B7E8AA" w14:textId="77777777" w:rsidR="00DD0576" w:rsidRDefault="00DD0576" w:rsidP="00FE4595">
      <w:pPr>
        <w:spacing w:after="0" w:line="276" w:lineRule="auto"/>
        <w:ind w:right="-425"/>
        <w:jc w:val="center"/>
        <w:rPr>
          <w:rFonts w:ascii="Calibri" w:hAnsi="Calibri" w:cs="Calibri"/>
          <w:b/>
          <w:bCs/>
          <w:smallCaps/>
          <w:sz w:val="22"/>
          <w:szCs w:val="22"/>
        </w:rPr>
      </w:pPr>
    </w:p>
    <w:p w14:paraId="24B69807" w14:textId="78D21F0D" w:rsidR="00DD0576" w:rsidRDefault="00DD0576" w:rsidP="00DD0576">
      <w:pPr>
        <w:spacing w:after="0" w:line="276" w:lineRule="auto"/>
        <w:ind w:right="-425"/>
        <w:jc w:val="right"/>
        <w:rPr>
          <w:rFonts w:ascii="Calibri" w:hAnsi="Calibri" w:cs="Calibri"/>
          <w:b/>
          <w:bCs/>
          <w:smallCaps/>
          <w:sz w:val="22"/>
          <w:szCs w:val="22"/>
        </w:rPr>
      </w:pPr>
      <w:r>
        <w:rPr>
          <w:rFonts w:ascii="Calibri" w:hAnsi="Calibri" w:cs="Calibri"/>
          <w:b/>
          <w:bCs/>
          <w:smallCaps/>
          <w:sz w:val="22"/>
          <w:szCs w:val="22"/>
        </w:rPr>
        <w:t>Santiago, 29 de julio de 2026</w:t>
      </w:r>
    </w:p>
    <w:p w14:paraId="0851ADBE" w14:textId="77777777" w:rsidR="00DD0576" w:rsidRDefault="00DD0576" w:rsidP="00FE4595">
      <w:pPr>
        <w:spacing w:after="0" w:line="276" w:lineRule="auto"/>
        <w:ind w:right="-425"/>
        <w:jc w:val="center"/>
        <w:rPr>
          <w:rFonts w:ascii="Calibri" w:hAnsi="Calibri" w:cs="Calibri"/>
          <w:b/>
          <w:bCs/>
          <w:smallCaps/>
          <w:sz w:val="22"/>
          <w:szCs w:val="22"/>
        </w:rPr>
      </w:pPr>
    </w:p>
    <w:p w14:paraId="4325FC59" w14:textId="77777777" w:rsidR="00DD0576" w:rsidRDefault="00DD0576" w:rsidP="00FE4595">
      <w:pPr>
        <w:spacing w:after="0" w:line="276" w:lineRule="auto"/>
        <w:ind w:right="-425"/>
        <w:jc w:val="center"/>
        <w:rPr>
          <w:rFonts w:ascii="Calibri" w:hAnsi="Calibri" w:cs="Calibri"/>
          <w:b/>
          <w:bCs/>
          <w:smallCaps/>
          <w:sz w:val="22"/>
          <w:szCs w:val="22"/>
        </w:rPr>
      </w:pPr>
    </w:p>
    <w:p w14:paraId="0249AAE7" w14:textId="2FFE2032" w:rsidR="00C92CBC" w:rsidRPr="00FE4595" w:rsidRDefault="00365A63" w:rsidP="00FE4595">
      <w:pPr>
        <w:spacing w:after="0" w:line="276" w:lineRule="auto"/>
        <w:ind w:right="-425"/>
        <w:jc w:val="center"/>
        <w:rPr>
          <w:rFonts w:ascii="Calibri" w:hAnsi="Calibri" w:cs="Calibri"/>
          <w:b/>
          <w:bCs/>
          <w:smallCaps/>
          <w:sz w:val="22"/>
          <w:szCs w:val="22"/>
        </w:rPr>
      </w:pPr>
      <w:r w:rsidRPr="00FE4595">
        <w:rPr>
          <w:rFonts w:ascii="Calibri" w:hAnsi="Calibri" w:cs="Calibri"/>
          <w:b/>
          <w:bCs/>
          <w:smallCaps/>
          <w:sz w:val="22"/>
          <w:szCs w:val="22"/>
        </w:rPr>
        <w:t xml:space="preserve">Acerca de la inconstitucionalidad de la exigencia de </w:t>
      </w:r>
      <w:r w:rsidR="00C92CBC" w:rsidRPr="00FE4595">
        <w:rPr>
          <w:rFonts w:ascii="Calibri" w:hAnsi="Calibri" w:cs="Calibri"/>
          <w:b/>
          <w:bCs/>
          <w:smallCaps/>
          <w:sz w:val="22"/>
          <w:szCs w:val="22"/>
        </w:rPr>
        <w:t>“</w:t>
      </w:r>
      <w:r w:rsidR="00C92CBC" w:rsidRPr="00FE4595">
        <w:rPr>
          <w:rFonts w:ascii="Calibri" w:hAnsi="Calibri" w:cs="Calibri"/>
          <w:b/>
          <w:bCs/>
          <w:i/>
          <w:iCs/>
          <w:smallCaps/>
          <w:sz w:val="22"/>
          <w:szCs w:val="22"/>
        </w:rPr>
        <w:t>buena conducta</w:t>
      </w:r>
      <w:r w:rsidR="00C92CBC" w:rsidRPr="00FE4595">
        <w:rPr>
          <w:rFonts w:ascii="Calibri" w:hAnsi="Calibri" w:cs="Calibri"/>
          <w:b/>
          <w:bCs/>
          <w:smallCaps/>
          <w:sz w:val="22"/>
          <w:szCs w:val="22"/>
        </w:rPr>
        <w:t>” para obtener el título de abogado</w:t>
      </w:r>
    </w:p>
    <w:p w14:paraId="356F2777" w14:textId="77777777" w:rsidR="006968D9" w:rsidRPr="001762C2" w:rsidRDefault="006968D9" w:rsidP="00FE4595">
      <w:pPr>
        <w:spacing w:after="0" w:line="276" w:lineRule="auto"/>
        <w:ind w:right="-425"/>
        <w:jc w:val="both"/>
        <w:rPr>
          <w:rFonts w:ascii="Calibri" w:hAnsi="Calibri" w:cs="Calibri"/>
          <w:sz w:val="22"/>
          <w:szCs w:val="22"/>
        </w:rPr>
      </w:pPr>
    </w:p>
    <w:p w14:paraId="5F2E0934" w14:textId="53F82CC9" w:rsidR="00C92CBC" w:rsidRPr="001762C2" w:rsidRDefault="00365A63" w:rsidP="00FE4595">
      <w:pPr>
        <w:spacing w:after="0" w:line="276" w:lineRule="auto"/>
        <w:ind w:right="-425"/>
        <w:jc w:val="both"/>
        <w:rPr>
          <w:rFonts w:ascii="Calibri" w:hAnsi="Calibri" w:cs="Calibri"/>
          <w:sz w:val="22"/>
          <w:szCs w:val="22"/>
        </w:rPr>
      </w:pPr>
      <w:r w:rsidRPr="001762C2">
        <w:rPr>
          <w:rFonts w:ascii="Calibri" w:hAnsi="Calibri" w:cs="Calibri"/>
          <w:sz w:val="22"/>
          <w:szCs w:val="22"/>
        </w:rPr>
        <w:t xml:space="preserve">Observamos con </w:t>
      </w:r>
      <w:r w:rsidR="00C92CBC" w:rsidRPr="001762C2">
        <w:rPr>
          <w:rFonts w:ascii="Calibri" w:hAnsi="Calibri" w:cs="Calibri"/>
          <w:sz w:val="22"/>
          <w:szCs w:val="22"/>
        </w:rPr>
        <w:t>preocupación las objeciones</w:t>
      </w:r>
      <w:r w:rsidR="006968D9" w:rsidRPr="001762C2">
        <w:rPr>
          <w:rFonts w:ascii="Calibri" w:hAnsi="Calibri" w:cs="Calibri"/>
          <w:sz w:val="22"/>
          <w:szCs w:val="22"/>
        </w:rPr>
        <w:t xml:space="preserve"> de </w:t>
      </w:r>
      <w:r w:rsidR="001762C2">
        <w:rPr>
          <w:rFonts w:ascii="Calibri" w:hAnsi="Calibri" w:cs="Calibri"/>
          <w:sz w:val="22"/>
          <w:szCs w:val="22"/>
        </w:rPr>
        <w:t>inconstitucionalidad</w:t>
      </w:r>
      <w:r w:rsidR="00F97AAB">
        <w:rPr>
          <w:rFonts w:ascii="Calibri" w:hAnsi="Calibri" w:cs="Calibri"/>
          <w:sz w:val="22"/>
          <w:szCs w:val="22"/>
        </w:rPr>
        <w:t xml:space="preserve"> formuladas</w:t>
      </w:r>
      <w:r w:rsidR="001762C2">
        <w:rPr>
          <w:rFonts w:ascii="Calibri" w:hAnsi="Calibri" w:cs="Calibri"/>
          <w:sz w:val="22"/>
          <w:szCs w:val="22"/>
        </w:rPr>
        <w:t xml:space="preserve"> </w:t>
      </w:r>
      <w:r w:rsidR="00F97AAB">
        <w:rPr>
          <w:rFonts w:ascii="Calibri" w:hAnsi="Calibri" w:cs="Calibri"/>
          <w:sz w:val="22"/>
          <w:szCs w:val="22"/>
        </w:rPr>
        <w:t>respecto del</w:t>
      </w:r>
      <w:r w:rsidR="00C92CBC" w:rsidRPr="001762C2">
        <w:rPr>
          <w:rFonts w:ascii="Calibri" w:hAnsi="Calibri" w:cs="Calibri"/>
          <w:sz w:val="22"/>
          <w:szCs w:val="22"/>
        </w:rPr>
        <w:t xml:space="preserve"> artículo 523 N° 4 del Código Orgánico de Tribunales, </w:t>
      </w:r>
      <w:r w:rsidRPr="001762C2">
        <w:rPr>
          <w:rFonts w:ascii="Calibri" w:hAnsi="Calibri" w:cs="Calibri"/>
          <w:sz w:val="22"/>
          <w:szCs w:val="22"/>
        </w:rPr>
        <w:t>en cuanto</w:t>
      </w:r>
      <w:r w:rsidR="00C92CBC" w:rsidRPr="001762C2">
        <w:rPr>
          <w:rFonts w:ascii="Calibri" w:hAnsi="Calibri" w:cs="Calibri"/>
          <w:sz w:val="22"/>
          <w:szCs w:val="22"/>
        </w:rPr>
        <w:t xml:space="preserve"> exige acreditar antecedentes de </w:t>
      </w:r>
      <w:r w:rsidR="00C92CBC" w:rsidRPr="00F97AAB">
        <w:rPr>
          <w:rFonts w:ascii="Calibri" w:hAnsi="Calibri" w:cs="Calibri"/>
          <w:i/>
          <w:iCs/>
          <w:sz w:val="22"/>
          <w:szCs w:val="22"/>
        </w:rPr>
        <w:t>buena conducta</w:t>
      </w:r>
      <w:r w:rsidR="00C92CBC" w:rsidRPr="001762C2">
        <w:rPr>
          <w:rFonts w:ascii="Calibri" w:hAnsi="Calibri" w:cs="Calibri"/>
          <w:sz w:val="22"/>
          <w:szCs w:val="22"/>
        </w:rPr>
        <w:t xml:space="preserve"> para obtener el título de abogado y faculta a la </w:t>
      </w:r>
      <w:r w:rsidR="00F97AAB">
        <w:rPr>
          <w:rFonts w:ascii="Calibri" w:hAnsi="Calibri" w:cs="Calibri"/>
          <w:sz w:val="22"/>
          <w:szCs w:val="22"/>
        </w:rPr>
        <w:t xml:space="preserve">Excma. </w:t>
      </w:r>
      <w:r w:rsidR="00C92CBC" w:rsidRPr="001762C2">
        <w:rPr>
          <w:rFonts w:ascii="Calibri" w:hAnsi="Calibri" w:cs="Calibri"/>
          <w:sz w:val="22"/>
          <w:szCs w:val="22"/>
        </w:rPr>
        <w:t>Corte Suprema para realizar las averiguaciones que estime necesarias sobre los antecedentes personales del postulante</w:t>
      </w:r>
      <w:r w:rsidR="00F97AAB">
        <w:rPr>
          <w:rFonts w:ascii="Calibri" w:hAnsi="Calibri" w:cs="Calibri"/>
          <w:sz w:val="22"/>
          <w:szCs w:val="22"/>
        </w:rPr>
        <w:t xml:space="preserve"> antes de conferirlo.</w:t>
      </w:r>
      <w:r w:rsidR="00C92CBC" w:rsidRPr="001762C2">
        <w:rPr>
          <w:rFonts w:ascii="Calibri" w:hAnsi="Calibri" w:cs="Calibri"/>
          <w:sz w:val="22"/>
          <w:szCs w:val="22"/>
        </w:rPr>
        <w:t xml:space="preserve"> </w:t>
      </w:r>
      <w:r w:rsidRPr="001762C2">
        <w:rPr>
          <w:rFonts w:ascii="Calibri" w:hAnsi="Calibri" w:cs="Calibri"/>
          <w:sz w:val="22"/>
          <w:szCs w:val="22"/>
        </w:rPr>
        <w:t>Es que conviene detenerse en una afirmación: es el único título profesional que no entregan las Universidades.</w:t>
      </w:r>
    </w:p>
    <w:p w14:paraId="513F4D71" w14:textId="77777777" w:rsidR="006968D9" w:rsidRPr="001762C2" w:rsidRDefault="006968D9" w:rsidP="00FE4595">
      <w:pPr>
        <w:spacing w:after="0" w:line="276" w:lineRule="auto"/>
        <w:ind w:right="-425"/>
        <w:jc w:val="both"/>
        <w:rPr>
          <w:rFonts w:ascii="Calibri" w:hAnsi="Calibri" w:cs="Calibri"/>
          <w:sz w:val="22"/>
          <w:szCs w:val="22"/>
        </w:rPr>
      </w:pPr>
    </w:p>
    <w:p w14:paraId="0423ECF5" w14:textId="36D93C4C" w:rsidR="00C92CBC" w:rsidRPr="001762C2" w:rsidRDefault="00C92CBC" w:rsidP="00FE4595">
      <w:pPr>
        <w:spacing w:after="0" w:line="276" w:lineRule="auto"/>
        <w:ind w:right="-425"/>
        <w:jc w:val="both"/>
        <w:rPr>
          <w:rFonts w:ascii="Calibri" w:hAnsi="Calibri" w:cs="Calibri"/>
          <w:sz w:val="22"/>
          <w:szCs w:val="22"/>
        </w:rPr>
      </w:pPr>
      <w:r w:rsidRPr="001762C2">
        <w:rPr>
          <w:rFonts w:ascii="Calibri" w:hAnsi="Calibri" w:cs="Calibri"/>
          <w:sz w:val="22"/>
          <w:szCs w:val="22"/>
        </w:rPr>
        <w:t xml:space="preserve">A </w:t>
      </w:r>
      <w:r w:rsidR="00365A63" w:rsidRPr="001762C2">
        <w:rPr>
          <w:rFonts w:ascii="Calibri" w:hAnsi="Calibri" w:cs="Calibri"/>
          <w:sz w:val="22"/>
          <w:szCs w:val="22"/>
        </w:rPr>
        <w:t>nuestro jui</w:t>
      </w:r>
      <w:r w:rsidRPr="001762C2">
        <w:rPr>
          <w:rFonts w:ascii="Calibri" w:hAnsi="Calibri" w:cs="Calibri"/>
          <w:sz w:val="22"/>
          <w:szCs w:val="22"/>
        </w:rPr>
        <w:t xml:space="preserve">cio, las razones que se han dado para sostener </w:t>
      </w:r>
      <w:r w:rsidR="00365A63" w:rsidRPr="001762C2">
        <w:rPr>
          <w:rFonts w:ascii="Calibri" w:hAnsi="Calibri" w:cs="Calibri"/>
          <w:sz w:val="22"/>
          <w:szCs w:val="22"/>
        </w:rPr>
        <w:t>tal</w:t>
      </w:r>
      <w:r w:rsidRPr="001762C2">
        <w:rPr>
          <w:rFonts w:ascii="Calibri" w:hAnsi="Calibri" w:cs="Calibri"/>
          <w:sz w:val="22"/>
          <w:szCs w:val="22"/>
        </w:rPr>
        <w:t xml:space="preserve"> inconstitucionalidad carecen de </w:t>
      </w:r>
      <w:r w:rsidR="00365A63" w:rsidRPr="001762C2">
        <w:rPr>
          <w:rFonts w:ascii="Calibri" w:hAnsi="Calibri" w:cs="Calibri"/>
          <w:sz w:val="22"/>
          <w:szCs w:val="22"/>
        </w:rPr>
        <w:t>asidero jurídico y lógico</w:t>
      </w:r>
      <w:r w:rsidRPr="001762C2">
        <w:rPr>
          <w:rFonts w:ascii="Calibri" w:hAnsi="Calibri" w:cs="Calibri"/>
          <w:sz w:val="22"/>
          <w:szCs w:val="22"/>
        </w:rPr>
        <w:t>. La investidura de abogado no constituye un acto automático ni un mero reconocimiento formal derivado de la obtención de un grado académico</w:t>
      </w:r>
      <w:r w:rsidR="00365A63" w:rsidRPr="001762C2">
        <w:rPr>
          <w:rFonts w:ascii="Calibri" w:hAnsi="Calibri" w:cs="Calibri"/>
          <w:sz w:val="22"/>
          <w:szCs w:val="22"/>
        </w:rPr>
        <w:t xml:space="preserve"> universitario</w:t>
      </w:r>
      <w:r w:rsidRPr="001762C2">
        <w:rPr>
          <w:rFonts w:ascii="Calibri" w:hAnsi="Calibri" w:cs="Calibri"/>
          <w:sz w:val="22"/>
          <w:szCs w:val="22"/>
        </w:rPr>
        <w:t>. Por el contrario, se trata de una habilitación estatal que confiere facultades de especial relevancia para la administración de justicia</w:t>
      </w:r>
      <w:r w:rsidR="001762C2">
        <w:rPr>
          <w:rFonts w:ascii="Calibri" w:hAnsi="Calibri" w:cs="Calibri"/>
          <w:sz w:val="22"/>
          <w:szCs w:val="22"/>
        </w:rPr>
        <w:t xml:space="preserve"> que está hoy a cargo de</w:t>
      </w:r>
      <w:r w:rsidR="00F97AAB">
        <w:rPr>
          <w:rFonts w:ascii="Calibri" w:hAnsi="Calibri" w:cs="Calibri"/>
          <w:sz w:val="22"/>
          <w:szCs w:val="22"/>
        </w:rPr>
        <w:t xml:space="preserve"> la</w:t>
      </w:r>
      <w:r w:rsidR="001762C2">
        <w:rPr>
          <w:rFonts w:ascii="Calibri" w:hAnsi="Calibri" w:cs="Calibri"/>
          <w:sz w:val="22"/>
          <w:szCs w:val="22"/>
        </w:rPr>
        <w:t xml:space="preserve"> Corte Suprema</w:t>
      </w:r>
      <w:r w:rsidR="00F97AAB">
        <w:rPr>
          <w:rFonts w:ascii="Calibri" w:hAnsi="Calibri" w:cs="Calibri"/>
          <w:sz w:val="22"/>
          <w:szCs w:val="22"/>
        </w:rPr>
        <w:t xml:space="preserve"> de Justicia</w:t>
      </w:r>
      <w:r w:rsidR="006968D9" w:rsidRPr="001762C2">
        <w:rPr>
          <w:rFonts w:ascii="Calibri" w:hAnsi="Calibri" w:cs="Calibri"/>
          <w:sz w:val="22"/>
          <w:szCs w:val="22"/>
        </w:rPr>
        <w:t>. Basta pensar que s</w:t>
      </w:r>
      <w:r w:rsidRPr="001762C2">
        <w:rPr>
          <w:rFonts w:ascii="Calibri" w:hAnsi="Calibri" w:cs="Calibri"/>
          <w:sz w:val="22"/>
          <w:szCs w:val="22"/>
        </w:rPr>
        <w:t>olo los abogados pueden ser designados jueces;</w:t>
      </w:r>
      <w:r w:rsidR="006968D9" w:rsidRPr="001762C2">
        <w:rPr>
          <w:rFonts w:ascii="Calibri" w:hAnsi="Calibri" w:cs="Calibri"/>
          <w:sz w:val="22"/>
          <w:szCs w:val="22"/>
        </w:rPr>
        <w:t xml:space="preserve"> y </w:t>
      </w:r>
      <w:r w:rsidR="00365A63" w:rsidRPr="001762C2">
        <w:rPr>
          <w:rFonts w:ascii="Calibri" w:hAnsi="Calibri" w:cs="Calibri"/>
          <w:sz w:val="22"/>
          <w:szCs w:val="22"/>
        </w:rPr>
        <w:t>que solo</w:t>
      </w:r>
      <w:r w:rsidRPr="001762C2">
        <w:rPr>
          <w:rFonts w:ascii="Calibri" w:hAnsi="Calibri" w:cs="Calibri"/>
          <w:sz w:val="22"/>
          <w:szCs w:val="22"/>
        </w:rPr>
        <w:t xml:space="preserve"> los abogados pueden intervenir en juicio</w:t>
      </w:r>
      <w:r w:rsidR="00365A63" w:rsidRPr="001762C2">
        <w:rPr>
          <w:rFonts w:ascii="Calibri" w:hAnsi="Calibri" w:cs="Calibri"/>
          <w:sz w:val="22"/>
          <w:szCs w:val="22"/>
        </w:rPr>
        <w:t xml:space="preserve"> representando a terceros en</w:t>
      </w:r>
      <w:r w:rsidRPr="001762C2">
        <w:rPr>
          <w:rFonts w:ascii="Calibri" w:hAnsi="Calibri" w:cs="Calibri"/>
          <w:sz w:val="22"/>
          <w:szCs w:val="22"/>
        </w:rPr>
        <w:t xml:space="preserve"> una suerte de monopolio conferido por el Estado.</w:t>
      </w:r>
    </w:p>
    <w:p w14:paraId="542C9AEC" w14:textId="77777777" w:rsidR="006968D9" w:rsidRPr="001762C2" w:rsidRDefault="006968D9" w:rsidP="00FE4595">
      <w:pPr>
        <w:spacing w:after="0" w:line="276" w:lineRule="auto"/>
        <w:ind w:right="-425"/>
        <w:jc w:val="both"/>
        <w:rPr>
          <w:rFonts w:ascii="Calibri" w:hAnsi="Calibri" w:cs="Calibri"/>
          <w:sz w:val="22"/>
          <w:szCs w:val="22"/>
        </w:rPr>
      </w:pPr>
    </w:p>
    <w:p w14:paraId="2C61614C" w14:textId="6D56D1C4" w:rsidR="00C92CBC" w:rsidRPr="001762C2" w:rsidRDefault="00C92CBC" w:rsidP="00FE4595">
      <w:pPr>
        <w:spacing w:after="0" w:line="276" w:lineRule="auto"/>
        <w:ind w:right="-425"/>
        <w:jc w:val="both"/>
        <w:rPr>
          <w:rFonts w:ascii="Calibri" w:hAnsi="Calibri" w:cs="Calibri"/>
          <w:sz w:val="22"/>
          <w:szCs w:val="22"/>
        </w:rPr>
      </w:pPr>
      <w:r w:rsidRPr="001762C2">
        <w:rPr>
          <w:rFonts w:ascii="Calibri" w:hAnsi="Calibri" w:cs="Calibri"/>
          <w:sz w:val="22"/>
          <w:szCs w:val="22"/>
        </w:rPr>
        <w:t xml:space="preserve">Si la Constitución y la ley encomiendan </w:t>
      </w:r>
      <w:r w:rsidR="006968D9" w:rsidRPr="001762C2">
        <w:rPr>
          <w:rFonts w:ascii="Calibri" w:hAnsi="Calibri" w:cs="Calibri"/>
          <w:sz w:val="22"/>
          <w:szCs w:val="22"/>
        </w:rPr>
        <w:t>a la Corte Suprema</w:t>
      </w:r>
      <w:r w:rsidRPr="001762C2">
        <w:rPr>
          <w:rFonts w:ascii="Calibri" w:hAnsi="Calibri" w:cs="Calibri"/>
          <w:sz w:val="22"/>
          <w:szCs w:val="22"/>
        </w:rPr>
        <w:t xml:space="preserve"> la responsabilidad de otorgar esta investidura, resulta lógico y necesario que </w:t>
      </w:r>
      <w:r w:rsidR="00365A63" w:rsidRPr="001762C2">
        <w:rPr>
          <w:rFonts w:ascii="Calibri" w:hAnsi="Calibri" w:cs="Calibri"/>
          <w:sz w:val="22"/>
          <w:szCs w:val="22"/>
        </w:rPr>
        <w:t>ella también pueda</w:t>
      </w:r>
      <w:r w:rsidRPr="001762C2">
        <w:rPr>
          <w:rFonts w:ascii="Calibri" w:hAnsi="Calibri" w:cs="Calibri"/>
          <w:sz w:val="22"/>
          <w:szCs w:val="22"/>
        </w:rPr>
        <w:t xml:space="preserve"> examinar los antecedentes del solicitante</w:t>
      </w:r>
      <w:r w:rsidR="006968D9" w:rsidRPr="001762C2">
        <w:rPr>
          <w:rFonts w:ascii="Calibri" w:hAnsi="Calibri" w:cs="Calibri"/>
          <w:sz w:val="22"/>
          <w:szCs w:val="22"/>
        </w:rPr>
        <w:t xml:space="preserve">. Si </w:t>
      </w:r>
      <w:r w:rsidR="00365A63" w:rsidRPr="001762C2">
        <w:rPr>
          <w:rFonts w:ascii="Calibri" w:hAnsi="Calibri" w:cs="Calibri"/>
          <w:sz w:val="22"/>
          <w:szCs w:val="22"/>
        </w:rPr>
        <w:t>quedare impedida</w:t>
      </w:r>
      <w:r w:rsidRPr="001762C2">
        <w:rPr>
          <w:rFonts w:ascii="Calibri" w:hAnsi="Calibri" w:cs="Calibri"/>
          <w:sz w:val="22"/>
          <w:szCs w:val="22"/>
        </w:rPr>
        <w:t xml:space="preserve"> de verificar la conducta previa del postulante, su intervención </w:t>
      </w:r>
      <w:r w:rsidR="006968D9" w:rsidRPr="001762C2">
        <w:rPr>
          <w:rFonts w:ascii="Calibri" w:hAnsi="Calibri" w:cs="Calibri"/>
          <w:sz w:val="22"/>
          <w:szCs w:val="22"/>
        </w:rPr>
        <w:t xml:space="preserve">se </w:t>
      </w:r>
      <w:r w:rsidR="00365A63" w:rsidRPr="001762C2">
        <w:rPr>
          <w:rFonts w:ascii="Calibri" w:hAnsi="Calibri" w:cs="Calibri"/>
          <w:sz w:val="22"/>
          <w:szCs w:val="22"/>
        </w:rPr>
        <w:t xml:space="preserve">ve </w:t>
      </w:r>
      <w:r w:rsidRPr="001762C2">
        <w:rPr>
          <w:rFonts w:ascii="Calibri" w:hAnsi="Calibri" w:cs="Calibri"/>
          <w:sz w:val="22"/>
          <w:szCs w:val="22"/>
        </w:rPr>
        <w:t>reducida a un trámite puramente burocrático</w:t>
      </w:r>
      <w:r w:rsidR="006968D9" w:rsidRPr="001762C2">
        <w:rPr>
          <w:rFonts w:ascii="Calibri" w:hAnsi="Calibri" w:cs="Calibri"/>
          <w:sz w:val="22"/>
          <w:szCs w:val="22"/>
        </w:rPr>
        <w:t xml:space="preserve"> de </w:t>
      </w:r>
      <w:r w:rsidRPr="001762C2">
        <w:rPr>
          <w:rFonts w:ascii="Calibri" w:hAnsi="Calibri" w:cs="Calibri"/>
          <w:sz w:val="22"/>
          <w:szCs w:val="22"/>
        </w:rPr>
        <w:t xml:space="preserve">registrar a quienes han cumplido ciertos requisitos formales, función que carece de justificación institucional. Más aún, la existencia de un registro público de abogados ya se encuentra asegurada por otros mecanismos estatales, de manera que la participación de la Corte Suprema </w:t>
      </w:r>
      <w:r w:rsidR="006968D9" w:rsidRPr="001762C2">
        <w:rPr>
          <w:rFonts w:ascii="Calibri" w:hAnsi="Calibri" w:cs="Calibri"/>
          <w:sz w:val="22"/>
          <w:szCs w:val="22"/>
        </w:rPr>
        <w:t>se vería privada de todo fundamento sustancial.</w:t>
      </w:r>
    </w:p>
    <w:p w14:paraId="3498914C" w14:textId="77777777" w:rsidR="006968D9" w:rsidRPr="001762C2" w:rsidRDefault="006968D9" w:rsidP="00FE4595">
      <w:pPr>
        <w:spacing w:after="0" w:line="276" w:lineRule="auto"/>
        <w:ind w:right="-425"/>
        <w:jc w:val="both"/>
        <w:rPr>
          <w:rFonts w:ascii="Calibri" w:hAnsi="Calibri" w:cs="Calibri"/>
          <w:sz w:val="22"/>
          <w:szCs w:val="22"/>
        </w:rPr>
      </w:pPr>
    </w:p>
    <w:p w14:paraId="2EDE597B" w14:textId="46EAEF4C" w:rsidR="00C92CBC" w:rsidRPr="001762C2" w:rsidRDefault="00C92CBC" w:rsidP="00FE4595">
      <w:pPr>
        <w:spacing w:after="0" w:line="276" w:lineRule="auto"/>
        <w:ind w:right="-425"/>
        <w:jc w:val="both"/>
        <w:rPr>
          <w:rFonts w:ascii="Calibri" w:hAnsi="Calibri" w:cs="Calibri"/>
          <w:sz w:val="22"/>
          <w:szCs w:val="22"/>
        </w:rPr>
      </w:pPr>
      <w:r w:rsidRPr="001762C2">
        <w:rPr>
          <w:rFonts w:ascii="Calibri" w:hAnsi="Calibri" w:cs="Calibri"/>
          <w:sz w:val="22"/>
          <w:szCs w:val="22"/>
        </w:rPr>
        <w:t xml:space="preserve">Tampoco parece compatible con el interés público sostener la existencia de un derecho incondicionado a recibir la investidura de abogado, cualquiera sea la conducta anterior del postulante. </w:t>
      </w:r>
      <w:r w:rsidR="006968D9" w:rsidRPr="001762C2">
        <w:rPr>
          <w:rFonts w:ascii="Calibri" w:hAnsi="Calibri" w:cs="Calibri"/>
          <w:sz w:val="22"/>
          <w:szCs w:val="22"/>
        </w:rPr>
        <w:t>Ya lo hemos visto: el</w:t>
      </w:r>
      <w:r w:rsidRPr="001762C2">
        <w:rPr>
          <w:rFonts w:ascii="Calibri" w:hAnsi="Calibri" w:cs="Calibri"/>
          <w:sz w:val="22"/>
          <w:szCs w:val="22"/>
        </w:rPr>
        <w:t xml:space="preserve"> ejercicio de la </w:t>
      </w:r>
      <w:r w:rsidR="006968D9" w:rsidRPr="001762C2">
        <w:rPr>
          <w:rFonts w:ascii="Calibri" w:hAnsi="Calibri" w:cs="Calibri"/>
          <w:sz w:val="22"/>
          <w:szCs w:val="22"/>
        </w:rPr>
        <w:t>abogacía exige</w:t>
      </w:r>
      <w:r w:rsidRPr="001762C2">
        <w:rPr>
          <w:rFonts w:ascii="Calibri" w:hAnsi="Calibri" w:cs="Calibri"/>
          <w:sz w:val="22"/>
          <w:szCs w:val="22"/>
        </w:rPr>
        <w:t xml:space="preserve"> especiales estándares de probidad, honestidad y respeto por el orden jurídico.</w:t>
      </w:r>
      <w:r w:rsidR="006968D9" w:rsidRPr="001762C2">
        <w:rPr>
          <w:rFonts w:ascii="Calibri" w:hAnsi="Calibri" w:cs="Calibri"/>
          <w:sz w:val="22"/>
          <w:szCs w:val="22"/>
        </w:rPr>
        <w:t xml:space="preserve"> Precisamente en días de crisis sobre esta materia, se postula mediante la derogación del No. 4 del artículo 523 del Código Orgánico, que cualquiera pueda ser investido de abogado</w:t>
      </w:r>
      <w:r w:rsidR="00365A63" w:rsidRPr="001762C2">
        <w:rPr>
          <w:rFonts w:ascii="Calibri" w:hAnsi="Calibri" w:cs="Calibri"/>
          <w:sz w:val="22"/>
          <w:szCs w:val="22"/>
        </w:rPr>
        <w:t xml:space="preserve">, sin importar la historia ética o delictual del postulante. </w:t>
      </w:r>
      <w:r w:rsidR="0099690F">
        <w:rPr>
          <w:rFonts w:ascii="Calibri" w:hAnsi="Calibri" w:cs="Calibri"/>
          <w:sz w:val="22"/>
          <w:szCs w:val="22"/>
        </w:rPr>
        <w:t>La derogación propuesta es</w:t>
      </w:r>
      <w:r w:rsidR="00B156BA">
        <w:rPr>
          <w:rFonts w:ascii="Calibri" w:hAnsi="Calibri" w:cs="Calibri"/>
          <w:sz w:val="22"/>
          <w:szCs w:val="22"/>
        </w:rPr>
        <w:t xml:space="preserve"> </w:t>
      </w:r>
      <w:r w:rsidR="0099690F" w:rsidRPr="001762C2">
        <w:rPr>
          <w:rFonts w:ascii="Calibri" w:hAnsi="Calibri" w:cs="Calibri"/>
          <w:sz w:val="22"/>
          <w:szCs w:val="22"/>
        </w:rPr>
        <w:t>contradictori</w:t>
      </w:r>
      <w:r w:rsidR="0099690F">
        <w:rPr>
          <w:rFonts w:ascii="Calibri" w:hAnsi="Calibri" w:cs="Calibri"/>
          <w:sz w:val="22"/>
          <w:szCs w:val="22"/>
        </w:rPr>
        <w:t>a</w:t>
      </w:r>
      <w:r w:rsidR="0099690F" w:rsidRPr="001762C2">
        <w:rPr>
          <w:rFonts w:ascii="Calibri" w:hAnsi="Calibri" w:cs="Calibri"/>
          <w:sz w:val="22"/>
          <w:szCs w:val="22"/>
        </w:rPr>
        <w:t xml:space="preserve"> </w:t>
      </w:r>
      <w:r w:rsidR="00365A63" w:rsidRPr="001762C2">
        <w:rPr>
          <w:rFonts w:ascii="Calibri" w:hAnsi="Calibri" w:cs="Calibri"/>
          <w:sz w:val="22"/>
          <w:szCs w:val="22"/>
        </w:rPr>
        <w:t>con el restablecimiento de la confianza</w:t>
      </w:r>
      <w:r w:rsidR="001762C2" w:rsidRPr="001762C2">
        <w:rPr>
          <w:rFonts w:ascii="Calibri" w:hAnsi="Calibri" w:cs="Calibri"/>
          <w:sz w:val="22"/>
          <w:szCs w:val="22"/>
        </w:rPr>
        <w:t xml:space="preserve"> en quienes sólo existen para tutelar y defender derechos ajenos</w:t>
      </w:r>
      <w:r w:rsidR="006968D9" w:rsidRPr="001762C2">
        <w:rPr>
          <w:rFonts w:ascii="Calibri" w:hAnsi="Calibri" w:cs="Calibri"/>
          <w:sz w:val="22"/>
          <w:szCs w:val="22"/>
        </w:rPr>
        <w:t xml:space="preserve">. </w:t>
      </w:r>
      <w:r w:rsidRPr="001762C2">
        <w:rPr>
          <w:rFonts w:ascii="Calibri" w:hAnsi="Calibri" w:cs="Calibri"/>
          <w:sz w:val="22"/>
          <w:szCs w:val="22"/>
        </w:rPr>
        <w:t>Resulta difícil afirmar que el ordenamiento constitucional obligue al Estado a conferir el título profesional habilitante a quien registre antecedentes que razonablemente permitan cuestionar su idoneidad para desempeñar funciones directamente vinculadas con la administración de justicia.</w:t>
      </w:r>
    </w:p>
    <w:p w14:paraId="6DCF856E" w14:textId="77777777" w:rsidR="006968D9" w:rsidRPr="001762C2" w:rsidRDefault="006968D9" w:rsidP="00FE4595">
      <w:pPr>
        <w:spacing w:after="0" w:line="276" w:lineRule="auto"/>
        <w:ind w:right="-425"/>
        <w:jc w:val="both"/>
        <w:rPr>
          <w:rFonts w:ascii="Calibri" w:hAnsi="Calibri" w:cs="Calibri"/>
          <w:sz w:val="22"/>
          <w:szCs w:val="22"/>
        </w:rPr>
      </w:pPr>
    </w:p>
    <w:p w14:paraId="0BFCEAFE" w14:textId="77777777" w:rsidR="001762C2" w:rsidRPr="001762C2" w:rsidRDefault="00C92CBC" w:rsidP="00FE4595">
      <w:pPr>
        <w:spacing w:after="0" w:line="276" w:lineRule="auto"/>
        <w:ind w:right="-425"/>
        <w:jc w:val="both"/>
        <w:rPr>
          <w:rFonts w:ascii="Calibri" w:hAnsi="Calibri" w:cs="Calibri"/>
          <w:sz w:val="22"/>
          <w:szCs w:val="22"/>
        </w:rPr>
      </w:pPr>
      <w:r w:rsidRPr="001762C2">
        <w:rPr>
          <w:rFonts w:ascii="Calibri" w:hAnsi="Calibri" w:cs="Calibri"/>
          <w:sz w:val="22"/>
          <w:szCs w:val="22"/>
        </w:rPr>
        <w:t>Lo anterior no significa desconocer que toda potestad debe ejercerse de manera racional y proporcional. La Corte Suprema debe evitar interpretaciones excesivamente rígidas o formalistas que conduzcan a resultados injustos o absurdos. La evaluación de la conducta de los postulantes debe atender a la naturaleza de los hechos, a su gravedad, a la antigüedad de los antecedentes y a las circunstancias particulares de cada caso. Sin embargo, la necesidad de que una facultad sea ejercida prudentemente no convierte a esa facultad en inconstitucional. Confundir ambos planos supone sustituir el análisis de constitucionalidad de una norma por una discusión acerca de la forma en que ella debe ser aplicada.</w:t>
      </w:r>
      <w:r w:rsidR="006968D9" w:rsidRPr="001762C2">
        <w:rPr>
          <w:rFonts w:ascii="Calibri" w:hAnsi="Calibri" w:cs="Calibri"/>
          <w:sz w:val="22"/>
          <w:szCs w:val="22"/>
        </w:rPr>
        <w:t xml:space="preserve"> Y si de esto último se trata, entonces optar por la derogación de la norma es simplemente un sin sentido.  </w:t>
      </w:r>
    </w:p>
    <w:p w14:paraId="406EAB11" w14:textId="77777777" w:rsidR="001762C2" w:rsidRPr="001762C2" w:rsidRDefault="001762C2" w:rsidP="00FE4595">
      <w:pPr>
        <w:spacing w:after="0" w:line="276" w:lineRule="auto"/>
        <w:ind w:right="-425"/>
        <w:jc w:val="both"/>
        <w:rPr>
          <w:rFonts w:ascii="Calibri" w:hAnsi="Calibri" w:cs="Calibri"/>
          <w:sz w:val="22"/>
          <w:szCs w:val="22"/>
        </w:rPr>
      </w:pPr>
    </w:p>
    <w:p w14:paraId="4FEBEAAC" w14:textId="77777777" w:rsidR="001762C2" w:rsidRDefault="00C92CBC" w:rsidP="00FE4595">
      <w:pPr>
        <w:spacing w:after="0" w:line="276" w:lineRule="auto"/>
        <w:ind w:right="-425"/>
        <w:jc w:val="both"/>
        <w:rPr>
          <w:rFonts w:ascii="Calibri" w:hAnsi="Calibri" w:cs="Calibri"/>
          <w:sz w:val="22"/>
          <w:szCs w:val="22"/>
        </w:rPr>
      </w:pPr>
      <w:r w:rsidRPr="001762C2">
        <w:rPr>
          <w:rFonts w:ascii="Calibri" w:hAnsi="Calibri" w:cs="Calibri"/>
          <w:sz w:val="22"/>
          <w:szCs w:val="22"/>
        </w:rPr>
        <w:lastRenderedPageBreak/>
        <w:t xml:space="preserve">El debate jurídico debe centrarse en los criterios que orientan el ejercicio de esa potestad y no en la eliminación de una atribución que resulta indispensable para preservar la confianza pública en una profesión llamada a colaborar directamente con la realización de la justicia. </w:t>
      </w:r>
    </w:p>
    <w:p w14:paraId="7F87B95F" w14:textId="77777777" w:rsidR="00DD0576" w:rsidRDefault="00DD0576" w:rsidP="00FE4595">
      <w:pPr>
        <w:spacing w:after="0" w:line="240" w:lineRule="auto"/>
        <w:ind w:right="-425"/>
        <w:jc w:val="center"/>
        <w:rPr>
          <w:rFonts w:ascii="Calibri" w:hAnsi="Calibri" w:cs="Calibri"/>
          <w:sz w:val="22"/>
          <w:szCs w:val="22"/>
        </w:rPr>
      </w:pPr>
    </w:p>
    <w:p w14:paraId="61EA90FD" w14:textId="77777777" w:rsidR="00DD0576" w:rsidRDefault="00DD0576" w:rsidP="00FE4595">
      <w:pPr>
        <w:spacing w:after="0" w:line="240" w:lineRule="auto"/>
        <w:ind w:right="-425"/>
        <w:jc w:val="center"/>
        <w:rPr>
          <w:rFonts w:ascii="Calibri" w:hAnsi="Calibri" w:cs="Calibri"/>
          <w:sz w:val="22"/>
          <w:szCs w:val="22"/>
        </w:rPr>
      </w:pPr>
    </w:p>
    <w:p w14:paraId="04B98AE6" w14:textId="77777777" w:rsidR="00DD0576" w:rsidRDefault="00DD0576" w:rsidP="00FE4595">
      <w:pPr>
        <w:spacing w:after="0" w:line="240" w:lineRule="auto"/>
        <w:ind w:right="-425"/>
        <w:jc w:val="center"/>
        <w:rPr>
          <w:rFonts w:ascii="Calibri" w:hAnsi="Calibri" w:cs="Calibri"/>
          <w:sz w:val="22"/>
          <w:szCs w:val="22"/>
        </w:rPr>
      </w:pPr>
    </w:p>
    <w:p w14:paraId="06187708" w14:textId="20700052" w:rsidR="00DD0576" w:rsidRDefault="00DD0576" w:rsidP="00FE4595">
      <w:pPr>
        <w:spacing w:after="0" w:line="240" w:lineRule="auto"/>
        <w:ind w:right="-425"/>
        <w:jc w:val="center"/>
        <w:rPr>
          <w:rFonts w:ascii="Calibri" w:hAnsi="Calibri" w:cs="Calibri"/>
          <w:sz w:val="22"/>
          <w:szCs w:val="22"/>
        </w:rPr>
      </w:pPr>
      <w:r>
        <w:rPr>
          <w:rFonts w:ascii="Calibri" w:hAnsi="Calibri" w:cs="Calibri"/>
          <w:sz w:val="22"/>
          <w:szCs w:val="22"/>
        </w:rPr>
        <w:t>Marcela Achurra       Loreto Ried      Soledad Recabarren      Macarena Carvallo     Soledad Ramírez</w:t>
      </w:r>
    </w:p>
    <w:p w14:paraId="03BFB275" w14:textId="77777777" w:rsidR="00DD0576" w:rsidRDefault="00DD0576" w:rsidP="00FE4595">
      <w:pPr>
        <w:spacing w:after="0" w:line="240" w:lineRule="auto"/>
        <w:ind w:right="-425"/>
        <w:jc w:val="center"/>
        <w:rPr>
          <w:rFonts w:ascii="Calibri" w:hAnsi="Calibri" w:cs="Calibri"/>
          <w:sz w:val="22"/>
          <w:szCs w:val="22"/>
        </w:rPr>
      </w:pPr>
    </w:p>
    <w:p w14:paraId="37DC9FDB" w14:textId="77777777" w:rsidR="00DD0576" w:rsidRDefault="00DD0576" w:rsidP="00FE4595">
      <w:pPr>
        <w:spacing w:after="0" w:line="240" w:lineRule="auto"/>
        <w:ind w:right="-425"/>
        <w:jc w:val="center"/>
        <w:rPr>
          <w:rFonts w:ascii="Calibri" w:hAnsi="Calibri" w:cs="Calibri"/>
          <w:sz w:val="22"/>
          <w:szCs w:val="22"/>
        </w:rPr>
      </w:pPr>
    </w:p>
    <w:p w14:paraId="0AC6A0F0" w14:textId="6C84EA2E" w:rsidR="00DD0576" w:rsidRDefault="00DD0576" w:rsidP="00FE4595">
      <w:pPr>
        <w:spacing w:after="0" w:line="240" w:lineRule="auto"/>
        <w:ind w:right="-425"/>
        <w:jc w:val="center"/>
        <w:rPr>
          <w:rFonts w:ascii="Calibri" w:hAnsi="Calibri" w:cs="Calibri"/>
          <w:sz w:val="22"/>
          <w:szCs w:val="22"/>
        </w:rPr>
      </w:pPr>
      <w:r>
        <w:rPr>
          <w:rFonts w:ascii="Calibri" w:hAnsi="Calibri" w:cs="Calibri"/>
          <w:sz w:val="22"/>
          <w:szCs w:val="22"/>
        </w:rPr>
        <w:t xml:space="preserve">Pablo Lagos     Pedro Pablo Vergara     José Luis Lara    Miguel Schurmanmn     Rodrigo Ochagavía    </w:t>
      </w:r>
    </w:p>
    <w:p w14:paraId="2FEA0482" w14:textId="77777777" w:rsidR="00DD0576" w:rsidRDefault="00DD0576" w:rsidP="00FE4595">
      <w:pPr>
        <w:spacing w:after="0" w:line="240" w:lineRule="auto"/>
        <w:ind w:right="-425"/>
        <w:jc w:val="center"/>
        <w:rPr>
          <w:rFonts w:ascii="Calibri" w:hAnsi="Calibri" w:cs="Calibri"/>
          <w:sz w:val="22"/>
          <w:szCs w:val="22"/>
        </w:rPr>
      </w:pPr>
    </w:p>
    <w:p w14:paraId="1FADAA6A" w14:textId="77777777" w:rsidR="00DD0576" w:rsidRDefault="00DD0576" w:rsidP="00FE4595">
      <w:pPr>
        <w:spacing w:after="0" w:line="240" w:lineRule="auto"/>
        <w:ind w:right="-425"/>
        <w:jc w:val="center"/>
        <w:rPr>
          <w:rFonts w:ascii="Calibri" w:hAnsi="Calibri" w:cs="Calibri"/>
          <w:sz w:val="22"/>
          <w:szCs w:val="22"/>
        </w:rPr>
      </w:pPr>
    </w:p>
    <w:p w14:paraId="24F905CF" w14:textId="47216055" w:rsidR="00DD0576" w:rsidRDefault="00DD0576" w:rsidP="00FE4595">
      <w:pPr>
        <w:spacing w:after="0" w:line="240" w:lineRule="auto"/>
        <w:ind w:right="-425"/>
        <w:jc w:val="center"/>
        <w:rPr>
          <w:rFonts w:ascii="Calibri" w:hAnsi="Calibri" w:cs="Calibri"/>
          <w:sz w:val="22"/>
          <w:szCs w:val="22"/>
        </w:rPr>
      </w:pPr>
      <w:r>
        <w:rPr>
          <w:rFonts w:ascii="Calibri" w:hAnsi="Calibri" w:cs="Calibri"/>
          <w:sz w:val="22"/>
          <w:szCs w:val="22"/>
        </w:rPr>
        <w:t>Matías Insunza    Enrique Navarro</w:t>
      </w:r>
    </w:p>
    <w:p w14:paraId="5B08F6D2" w14:textId="77777777" w:rsidR="00DD0576" w:rsidRDefault="00DD0576" w:rsidP="00FE4595">
      <w:pPr>
        <w:spacing w:after="0" w:line="240" w:lineRule="auto"/>
        <w:ind w:right="-425"/>
        <w:jc w:val="center"/>
        <w:rPr>
          <w:rFonts w:ascii="Calibri" w:hAnsi="Calibri" w:cs="Calibri"/>
          <w:sz w:val="22"/>
          <w:szCs w:val="22"/>
        </w:rPr>
      </w:pPr>
    </w:p>
    <w:p w14:paraId="2F271D5C" w14:textId="77777777" w:rsidR="00DD0576" w:rsidRDefault="00DD0576" w:rsidP="00FE4595">
      <w:pPr>
        <w:spacing w:after="0" w:line="240" w:lineRule="auto"/>
        <w:ind w:right="-425"/>
        <w:jc w:val="center"/>
        <w:rPr>
          <w:rFonts w:ascii="Calibri" w:hAnsi="Calibri" w:cs="Calibri"/>
          <w:sz w:val="22"/>
          <w:szCs w:val="22"/>
        </w:rPr>
      </w:pPr>
    </w:p>
    <w:p w14:paraId="71570C0A" w14:textId="095C6039" w:rsidR="00DD0576" w:rsidRDefault="00DD0576" w:rsidP="00FE4595">
      <w:pPr>
        <w:spacing w:after="0" w:line="240" w:lineRule="auto"/>
        <w:ind w:right="-425"/>
        <w:jc w:val="center"/>
        <w:rPr>
          <w:rFonts w:ascii="Calibri" w:hAnsi="Calibri" w:cs="Calibri"/>
          <w:sz w:val="22"/>
          <w:szCs w:val="22"/>
        </w:rPr>
      </w:pPr>
      <w:r>
        <w:rPr>
          <w:rFonts w:ascii="Calibri" w:hAnsi="Calibri" w:cs="Calibri"/>
          <w:sz w:val="22"/>
          <w:szCs w:val="22"/>
        </w:rPr>
        <w:t>Ramiro Mendoza</w:t>
      </w:r>
    </w:p>
    <w:p w14:paraId="5C61FC7C" w14:textId="77777777" w:rsidR="00DD0576" w:rsidRDefault="00DD0576" w:rsidP="00FE4595">
      <w:pPr>
        <w:spacing w:after="0" w:line="240" w:lineRule="auto"/>
        <w:ind w:right="-425"/>
        <w:jc w:val="center"/>
        <w:rPr>
          <w:rFonts w:ascii="Calibri" w:hAnsi="Calibri" w:cs="Calibri"/>
          <w:sz w:val="22"/>
          <w:szCs w:val="22"/>
        </w:rPr>
      </w:pPr>
    </w:p>
    <w:p w14:paraId="03788D2F" w14:textId="77777777" w:rsidR="00DD0576" w:rsidRDefault="00DD0576" w:rsidP="00FE4595">
      <w:pPr>
        <w:spacing w:after="0" w:line="240" w:lineRule="auto"/>
        <w:ind w:right="-425"/>
        <w:jc w:val="center"/>
        <w:rPr>
          <w:rFonts w:ascii="Calibri" w:hAnsi="Calibri" w:cs="Calibri"/>
          <w:sz w:val="22"/>
          <w:szCs w:val="22"/>
        </w:rPr>
      </w:pPr>
    </w:p>
    <w:p w14:paraId="4D474220" w14:textId="77777777" w:rsidR="00DD0576" w:rsidRDefault="00DD0576" w:rsidP="00FE4595">
      <w:pPr>
        <w:spacing w:after="0" w:line="240" w:lineRule="auto"/>
        <w:ind w:right="-425"/>
        <w:jc w:val="center"/>
        <w:rPr>
          <w:rFonts w:ascii="Calibri" w:hAnsi="Calibri" w:cs="Calibri"/>
          <w:sz w:val="22"/>
          <w:szCs w:val="22"/>
        </w:rPr>
      </w:pPr>
    </w:p>
    <w:p w14:paraId="529A74FF" w14:textId="41C0A7A2" w:rsidR="00FE4595" w:rsidRDefault="00F97AAB" w:rsidP="00FE4595">
      <w:pPr>
        <w:spacing w:after="0" w:line="240" w:lineRule="auto"/>
        <w:ind w:right="-425"/>
        <w:jc w:val="center"/>
        <w:rPr>
          <w:rFonts w:ascii="Calibri" w:hAnsi="Calibri" w:cs="Calibri"/>
          <w:sz w:val="22"/>
          <w:szCs w:val="22"/>
        </w:rPr>
      </w:pPr>
      <w:r>
        <w:rPr>
          <w:rFonts w:ascii="Calibri" w:hAnsi="Calibri" w:cs="Calibri"/>
          <w:sz w:val="22"/>
          <w:szCs w:val="22"/>
        </w:rPr>
        <w:t>Consejo General</w:t>
      </w:r>
    </w:p>
    <w:p w14:paraId="49212EE3" w14:textId="2E717B78" w:rsidR="00707FA5" w:rsidRPr="001762C2" w:rsidRDefault="00F97AAB" w:rsidP="00FE4595">
      <w:pPr>
        <w:spacing w:after="0" w:line="240" w:lineRule="auto"/>
        <w:ind w:right="-425"/>
        <w:jc w:val="center"/>
        <w:rPr>
          <w:rFonts w:ascii="Calibri" w:hAnsi="Calibri" w:cs="Calibri"/>
          <w:sz w:val="22"/>
          <w:szCs w:val="22"/>
          <w:lang w:val="pt-PT"/>
        </w:rPr>
      </w:pPr>
      <w:r>
        <w:rPr>
          <w:rFonts w:ascii="Calibri" w:hAnsi="Calibri" w:cs="Calibri"/>
          <w:sz w:val="22"/>
          <w:szCs w:val="22"/>
        </w:rPr>
        <w:t>Colegio de Abogados de Chile AG</w:t>
      </w:r>
    </w:p>
    <w:sectPr w:rsidR="00707FA5" w:rsidRPr="001762C2" w:rsidSect="00FE4595">
      <w:headerReference w:type="default" r:id="rId7"/>
      <w:footerReference w:type="default" r:id="rId8"/>
      <w:pgSz w:w="12240" w:h="18720" w:code="14"/>
      <w:pgMar w:top="572" w:right="1183"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FF65" w14:textId="77777777" w:rsidR="005D10A4" w:rsidRDefault="005D10A4" w:rsidP="00707FA5">
      <w:pPr>
        <w:spacing w:after="0" w:line="240" w:lineRule="auto"/>
      </w:pPr>
      <w:r>
        <w:separator/>
      </w:r>
    </w:p>
  </w:endnote>
  <w:endnote w:type="continuationSeparator" w:id="0">
    <w:p w14:paraId="42827CEB" w14:textId="77777777" w:rsidR="005D10A4" w:rsidRDefault="005D10A4" w:rsidP="00707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D2B7" w14:textId="1DC3A76C" w:rsidR="00707FA5" w:rsidRDefault="00707FA5">
    <w:pPr>
      <w:pStyle w:val="Piedepgina"/>
      <w:jc w:val="right"/>
    </w:pPr>
  </w:p>
  <w:p w14:paraId="05A17AF8" w14:textId="77777777" w:rsidR="00707FA5" w:rsidRDefault="00707F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9913" w14:textId="77777777" w:rsidR="005D10A4" w:rsidRDefault="005D10A4" w:rsidP="00707FA5">
      <w:pPr>
        <w:spacing w:after="0" w:line="240" w:lineRule="auto"/>
      </w:pPr>
      <w:r>
        <w:separator/>
      </w:r>
    </w:p>
  </w:footnote>
  <w:footnote w:type="continuationSeparator" w:id="0">
    <w:p w14:paraId="047CA199" w14:textId="77777777" w:rsidR="005D10A4" w:rsidRDefault="005D10A4" w:rsidP="00707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7B3C" w14:textId="544651C1" w:rsidR="00FE4595" w:rsidRDefault="00FE4595" w:rsidP="00FE4595">
    <w:pPr>
      <w:pStyle w:val="Encabezado"/>
      <w:jc w:val="center"/>
    </w:pPr>
    <w:r w:rsidRPr="00FE4595">
      <w:rPr>
        <w:noProof/>
      </w:rPr>
      <w:drawing>
        <wp:inline distT="0" distB="0" distL="0" distR="0" wp14:anchorId="7655B752" wp14:editId="11CD7A57">
          <wp:extent cx="1885950" cy="1022350"/>
          <wp:effectExtent l="0" t="0" r="0" b="6350"/>
          <wp:docPr id="2109585737" name="Imagen 1" descr="Inicio - Colegio de Abog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cio - Colegio de Abogad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10223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BC"/>
    <w:rsid w:val="000D2D11"/>
    <w:rsid w:val="000D3D50"/>
    <w:rsid w:val="000F2EF3"/>
    <w:rsid w:val="000F5F07"/>
    <w:rsid w:val="001244C9"/>
    <w:rsid w:val="001762C2"/>
    <w:rsid w:val="002C2496"/>
    <w:rsid w:val="002D2DA0"/>
    <w:rsid w:val="00365A63"/>
    <w:rsid w:val="003B3BA0"/>
    <w:rsid w:val="00427F2E"/>
    <w:rsid w:val="004B5E4C"/>
    <w:rsid w:val="004F5B49"/>
    <w:rsid w:val="005A4E05"/>
    <w:rsid w:val="005D10A4"/>
    <w:rsid w:val="00614A51"/>
    <w:rsid w:val="00686C51"/>
    <w:rsid w:val="00686E34"/>
    <w:rsid w:val="006968D9"/>
    <w:rsid w:val="007021AD"/>
    <w:rsid w:val="007044D5"/>
    <w:rsid w:val="00707FA5"/>
    <w:rsid w:val="00802943"/>
    <w:rsid w:val="00993C87"/>
    <w:rsid w:val="0099690F"/>
    <w:rsid w:val="00A37D31"/>
    <w:rsid w:val="00A80523"/>
    <w:rsid w:val="00AD740A"/>
    <w:rsid w:val="00B14E15"/>
    <w:rsid w:val="00B156BA"/>
    <w:rsid w:val="00B7776C"/>
    <w:rsid w:val="00BA36AD"/>
    <w:rsid w:val="00BF104F"/>
    <w:rsid w:val="00BF1A39"/>
    <w:rsid w:val="00BF69D7"/>
    <w:rsid w:val="00C435CD"/>
    <w:rsid w:val="00C43AD6"/>
    <w:rsid w:val="00C61B43"/>
    <w:rsid w:val="00C87E73"/>
    <w:rsid w:val="00C92CBC"/>
    <w:rsid w:val="00D074F5"/>
    <w:rsid w:val="00DD0576"/>
    <w:rsid w:val="00E2213A"/>
    <w:rsid w:val="00E94457"/>
    <w:rsid w:val="00EC501F"/>
    <w:rsid w:val="00ED6813"/>
    <w:rsid w:val="00F751F1"/>
    <w:rsid w:val="00F97AAB"/>
    <w:rsid w:val="00FD2B36"/>
    <w:rsid w:val="00FE4595"/>
    <w:rsid w:val="00FF79B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C5B7B"/>
  <w15:chartTrackingRefBased/>
  <w15:docId w15:val="{9E3FFF78-DEA3-42B1-A302-CAF3CD57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92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92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2C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2C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2C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2C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2C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2C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2C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
    <w:name w:val="Quote"/>
    <w:basedOn w:val="Normal"/>
    <w:next w:val="Normal"/>
    <w:link w:val="CitaCar"/>
    <w:uiPriority w:val="29"/>
    <w:qFormat/>
    <w:rsid w:val="004B5E4C"/>
    <w:pPr>
      <w:spacing w:before="200"/>
      <w:ind w:left="864" w:right="864"/>
      <w:jc w:val="center"/>
    </w:pPr>
    <w:rPr>
      <w:rFonts w:ascii="Algerian" w:hAnsi="Algerian"/>
      <w:i/>
      <w:iCs/>
      <w:color w:val="404040" w:themeColor="text1" w:themeTint="BF"/>
      <w:sz w:val="32"/>
    </w:rPr>
  </w:style>
  <w:style w:type="character" w:customStyle="1" w:styleId="CitaCar">
    <w:name w:val="Cita Car"/>
    <w:basedOn w:val="Fuentedeprrafopredeter"/>
    <w:link w:val="Cita"/>
    <w:uiPriority w:val="29"/>
    <w:rsid w:val="004B5E4C"/>
    <w:rPr>
      <w:rFonts w:ascii="Algerian" w:hAnsi="Algerian"/>
      <w:i/>
      <w:iCs/>
      <w:color w:val="404040" w:themeColor="text1" w:themeTint="BF"/>
      <w:sz w:val="32"/>
    </w:rPr>
  </w:style>
  <w:style w:type="paragraph" w:styleId="Encabezado">
    <w:name w:val="header"/>
    <w:basedOn w:val="Normal"/>
    <w:link w:val="EncabezadoCar"/>
    <w:uiPriority w:val="99"/>
    <w:unhideWhenUsed/>
    <w:rsid w:val="00707F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7FA5"/>
  </w:style>
  <w:style w:type="paragraph" w:styleId="Piedepgina">
    <w:name w:val="footer"/>
    <w:basedOn w:val="Normal"/>
    <w:link w:val="PiedepginaCar"/>
    <w:uiPriority w:val="99"/>
    <w:unhideWhenUsed/>
    <w:rsid w:val="00707F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7FA5"/>
  </w:style>
  <w:style w:type="character" w:customStyle="1" w:styleId="Ttulo1Car">
    <w:name w:val="Título 1 Car"/>
    <w:basedOn w:val="Fuentedeprrafopredeter"/>
    <w:link w:val="Ttulo1"/>
    <w:uiPriority w:val="9"/>
    <w:rsid w:val="00C92C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92C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2C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2C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2C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2C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2C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2C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2CBC"/>
    <w:rPr>
      <w:rFonts w:eastAsiaTheme="majorEastAsia" w:cstheme="majorBidi"/>
      <w:color w:val="272727" w:themeColor="text1" w:themeTint="D8"/>
    </w:rPr>
  </w:style>
  <w:style w:type="paragraph" w:styleId="Ttulo">
    <w:name w:val="Title"/>
    <w:basedOn w:val="Normal"/>
    <w:next w:val="Normal"/>
    <w:link w:val="TtuloCar"/>
    <w:uiPriority w:val="10"/>
    <w:qFormat/>
    <w:rsid w:val="00C92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2C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2C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2CBC"/>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C92CBC"/>
    <w:pPr>
      <w:ind w:left="720"/>
      <w:contextualSpacing/>
    </w:pPr>
  </w:style>
  <w:style w:type="character" w:styleId="nfasisintenso">
    <w:name w:val="Intense Emphasis"/>
    <w:basedOn w:val="Fuentedeprrafopredeter"/>
    <w:uiPriority w:val="21"/>
    <w:qFormat/>
    <w:rsid w:val="00C92CBC"/>
    <w:rPr>
      <w:i/>
      <w:iCs/>
      <w:color w:val="0F4761" w:themeColor="accent1" w:themeShade="BF"/>
    </w:rPr>
  </w:style>
  <w:style w:type="paragraph" w:styleId="Citadestacada">
    <w:name w:val="Intense Quote"/>
    <w:basedOn w:val="Normal"/>
    <w:next w:val="Normal"/>
    <w:link w:val="CitadestacadaCar"/>
    <w:uiPriority w:val="30"/>
    <w:qFormat/>
    <w:rsid w:val="00C92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2CBC"/>
    <w:rPr>
      <w:i/>
      <w:iCs/>
      <w:color w:val="0F4761" w:themeColor="accent1" w:themeShade="BF"/>
    </w:rPr>
  </w:style>
  <w:style w:type="character" w:styleId="Referenciaintensa">
    <w:name w:val="Intense Reference"/>
    <w:basedOn w:val="Fuentedeprrafopredeter"/>
    <w:uiPriority w:val="32"/>
    <w:qFormat/>
    <w:rsid w:val="00C92CBC"/>
    <w:rPr>
      <w:b/>
      <w:bCs/>
      <w:smallCaps/>
      <w:color w:val="0F4761" w:themeColor="accent1" w:themeShade="BF"/>
      <w:spacing w:val="5"/>
    </w:rPr>
  </w:style>
  <w:style w:type="character" w:styleId="Hipervnculo">
    <w:name w:val="Hyperlink"/>
    <w:basedOn w:val="Fuentedeprrafopredeter"/>
    <w:uiPriority w:val="99"/>
    <w:unhideWhenUsed/>
    <w:rsid w:val="00C92CBC"/>
    <w:rPr>
      <w:color w:val="467886" w:themeColor="hyperlink"/>
      <w:u w:val="single"/>
    </w:rPr>
  </w:style>
  <w:style w:type="character" w:styleId="Mencinsinresolver">
    <w:name w:val="Unresolved Mention"/>
    <w:basedOn w:val="Fuentedeprrafopredeter"/>
    <w:uiPriority w:val="99"/>
    <w:semiHidden/>
    <w:unhideWhenUsed/>
    <w:rsid w:val="00C92CBC"/>
    <w:rPr>
      <w:color w:val="605E5C"/>
      <w:shd w:val="clear" w:color="auto" w:fill="E1DFDD"/>
    </w:rPr>
  </w:style>
  <w:style w:type="table" w:styleId="Tablaconcuadrcula">
    <w:name w:val="Table Grid"/>
    <w:basedOn w:val="Tablanormal"/>
    <w:uiPriority w:val="39"/>
    <w:rsid w:val="00176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969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17967-F20E-4A3C-A8D3-5B483BBE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Pablo Vergara Varas</dc:creator>
  <cp:keywords/>
  <dc:description/>
  <cp:lastModifiedBy>Ana María Carbone</cp:lastModifiedBy>
  <cp:revision>2</cp:revision>
  <dcterms:created xsi:type="dcterms:W3CDTF">2026-07-29T17:02:00Z</dcterms:created>
  <dcterms:modified xsi:type="dcterms:W3CDTF">2026-07-29T17:02:00Z</dcterms:modified>
</cp:coreProperties>
</file>