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42170" w14:textId="77777777" w:rsidR="00862EAC" w:rsidRPr="0014579F" w:rsidRDefault="003429B7">
      <w:pPr>
        <w:rPr>
          <w:rFonts w:ascii="Bookman Old Style" w:hAnsi="Bookman Old Style"/>
        </w:rPr>
      </w:pPr>
      <w:r w:rsidRPr="0014579F">
        <w:rPr>
          <w:rFonts w:ascii="Bookman Old Style" w:hAnsi="Bookman Old Style"/>
          <w:noProof/>
        </w:rPr>
        <w:drawing>
          <wp:inline distT="0" distB="0" distL="0" distR="0" wp14:anchorId="42A58F83" wp14:editId="647F73E6">
            <wp:extent cx="5905500" cy="1905000"/>
            <wp:effectExtent l="0" t="0" r="0" b="0"/>
            <wp:docPr id="1" name="Banner" descr="Banner derecho tributario" title="Derecho Tributar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396D6" w14:textId="77777777" w:rsidR="00862EAC" w:rsidRPr="0014579F" w:rsidRDefault="00862EAC">
      <w:pPr>
        <w:spacing w:after="160"/>
        <w:rPr>
          <w:rFonts w:ascii="Bookman Old Style" w:hAnsi="Bookman Old Style"/>
        </w:rPr>
      </w:pPr>
    </w:p>
    <w:p w14:paraId="69F47D8D" w14:textId="7C2B5500" w:rsidR="00862EAC" w:rsidRPr="0014579F" w:rsidRDefault="003429B7">
      <w:pPr>
        <w:spacing w:after="60"/>
        <w:jc w:val="center"/>
        <w:rPr>
          <w:rFonts w:ascii="Bookman Old Style" w:hAnsi="Bookman Old Style"/>
        </w:rPr>
      </w:pPr>
      <w:r w:rsidRPr="0014579F">
        <w:rPr>
          <w:rFonts w:ascii="Bookman Old Style" w:hAnsi="Bookman Old Style"/>
          <w:b/>
          <w:bCs/>
          <w:color w:val="1A3A5C"/>
          <w:sz w:val="30"/>
          <w:szCs w:val="30"/>
        </w:rPr>
        <w:t>LA DEFENSORÍA DEL CONTRIBUYENTE (DEDECON)</w:t>
      </w:r>
    </w:p>
    <w:p w14:paraId="638179B7" w14:textId="77777777" w:rsidR="00862EAC" w:rsidRPr="0014579F" w:rsidRDefault="003429B7">
      <w:pPr>
        <w:spacing w:after="60"/>
        <w:jc w:val="center"/>
        <w:rPr>
          <w:rFonts w:ascii="Bookman Old Style" w:hAnsi="Bookman Old Style"/>
        </w:rPr>
      </w:pPr>
      <w:r w:rsidRPr="0014579F">
        <w:rPr>
          <w:rFonts w:ascii="Bookman Old Style" w:hAnsi="Bookman Old Style"/>
          <w:i/>
          <w:iCs/>
          <w:color w:val="444444"/>
        </w:rPr>
        <w:t>Rol, Funciones y Atribuciones en el Sistema Tributario Chileno</w:t>
      </w:r>
    </w:p>
    <w:p w14:paraId="0AFD0A4A" w14:textId="77777777" w:rsidR="00B91E35" w:rsidRPr="0014579F" w:rsidRDefault="00B91E35">
      <w:pPr>
        <w:pBdr>
          <w:bottom w:val="single" w:sz="6" w:space="4" w:color="1A3A5C"/>
        </w:pBdr>
        <w:spacing w:after="160"/>
        <w:rPr>
          <w:rFonts w:ascii="Bookman Old Style" w:hAnsi="Bookman Old Style"/>
        </w:rPr>
      </w:pPr>
    </w:p>
    <w:p w14:paraId="6367C478" w14:textId="77777777" w:rsidR="00B91E35" w:rsidRDefault="00B91E35" w:rsidP="00B91E35">
      <w:pPr>
        <w:pStyle w:val="Prrafodelista"/>
        <w:spacing w:after="120" w:line="276" w:lineRule="auto"/>
        <w:ind w:left="1080"/>
        <w:rPr>
          <w:rFonts w:ascii="Bookman Old Style" w:hAnsi="Bookman Old Style"/>
          <w:b/>
          <w:bCs/>
          <w:color w:val="1A3A5C"/>
        </w:rPr>
      </w:pPr>
    </w:p>
    <w:p w14:paraId="528F5E06" w14:textId="07E01947" w:rsidR="0014579F" w:rsidRPr="0014579F" w:rsidRDefault="00880989" w:rsidP="0014579F">
      <w:pPr>
        <w:pStyle w:val="Prrafodelista"/>
        <w:numPr>
          <w:ilvl w:val="0"/>
          <w:numId w:val="3"/>
        </w:numPr>
        <w:spacing w:after="120" w:line="276" w:lineRule="auto"/>
        <w:rPr>
          <w:rFonts w:ascii="Bookman Old Style" w:hAnsi="Bookman Old Style"/>
          <w:b/>
          <w:bCs/>
          <w:color w:val="1A3A5C"/>
        </w:rPr>
      </w:pPr>
      <w:r>
        <w:rPr>
          <w:rFonts w:ascii="Bookman Old Style" w:hAnsi="Bookman Old Style"/>
          <w:b/>
          <w:bCs/>
          <w:color w:val="1A3A5C"/>
        </w:rPr>
        <w:t>Presentación</w:t>
      </w:r>
    </w:p>
    <w:p w14:paraId="3F3B0869" w14:textId="3E62E2C1" w:rsidR="00880989" w:rsidRPr="00B91E35" w:rsidRDefault="00B91E35" w:rsidP="00880989">
      <w:pPr>
        <w:spacing w:after="120" w:line="276" w:lineRule="auto"/>
        <w:jc w:val="both"/>
      </w:pPr>
      <w:r w:rsidRPr="00B91E35">
        <w:rPr>
          <w:rFonts w:ascii="Bookman Old Style" w:hAnsi="Bookman Old Style"/>
        </w:rPr>
        <w:t xml:space="preserve">La Comisión Tributaria del Colegio de Abogados de Chile </w:t>
      </w:r>
      <w:r w:rsidR="00880989">
        <w:rPr>
          <w:rFonts w:ascii="Bookman Old Style" w:hAnsi="Bookman Old Style"/>
        </w:rPr>
        <w:t xml:space="preserve">A.G. </w:t>
      </w:r>
      <w:r w:rsidRPr="00B91E35">
        <w:rPr>
          <w:rFonts w:ascii="Bookman Old Style" w:hAnsi="Bookman Old Style"/>
        </w:rPr>
        <w:t xml:space="preserve">pone a disposición de sus miembros y de la comunidad jurídica </w:t>
      </w:r>
      <w:r w:rsidR="00880989">
        <w:rPr>
          <w:rFonts w:ascii="Bookman Old Style" w:hAnsi="Bookman Old Style"/>
        </w:rPr>
        <w:t>el presente documento</w:t>
      </w:r>
      <w:r w:rsidRPr="00B91E35">
        <w:rPr>
          <w:rFonts w:ascii="Bookman Old Style" w:hAnsi="Bookman Old Style"/>
        </w:rPr>
        <w:t>, cuyo propósito es difundir el rol institucional de la Defensoría del Contribuyente (</w:t>
      </w:r>
      <w:r w:rsidR="00880989">
        <w:rPr>
          <w:rFonts w:ascii="Bookman Old Style" w:hAnsi="Bookman Old Style"/>
        </w:rPr>
        <w:t xml:space="preserve">en adelante, </w:t>
      </w:r>
      <w:r w:rsidRPr="00B91E35">
        <w:rPr>
          <w:rFonts w:ascii="Bookman Old Style" w:hAnsi="Bookman Old Style"/>
        </w:rPr>
        <w:t>"DEDECON")</w:t>
      </w:r>
    </w:p>
    <w:p w14:paraId="487C8E20" w14:textId="72A1E412" w:rsidR="00B91E35" w:rsidRPr="00B91E35" w:rsidRDefault="00B91E35" w:rsidP="00880989">
      <w:pPr>
        <w:spacing w:after="120" w:line="276" w:lineRule="auto"/>
        <w:jc w:val="both"/>
        <w:rPr>
          <w:rFonts w:ascii="Bookman Old Style" w:hAnsi="Bookman Old Style"/>
        </w:rPr>
      </w:pPr>
      <w:r w:rsidRPr="00B91E35">
        <w:rPr>
          <w:rFonts w:ascii="Bookman Old Style" w:hAnsi="Bookman Old Style"/>
        </w:rPr>
        <w:t>La DEDECON fue creada mediante el artículo vigésimo tercero de la Ley N° 21.210, de 24 de febrero de 2020, sobre Modernización de la Legislación Tributaria. Constituye un servicio público descentralizado, dotado de personalidad jurídica y patrimonio propio, sometido a la supervigilancia del Presidente de la República a través del Ministerio de Hacienda, con inicio de actividades el 1 de agosto de 2021 conforme al D.F.L. N° 1/2021.</w:t>
      </w:r>
    </w:p>
    <w:p w14:paraId="336970D7" w14:textId="2DE629E3" w:rsidR="00B91E35" w:rsidRDefault="00B91E35" w:rsidP="00880989">
      <w:pPr>
        <w:spacing w:after="120" w:line="276" w:lineRule="auto"/>
        <w:jc w:val="both"/>
        <w:rPr>
          <w:rFonts w:ascii="Bookman Old Style" w:hAnsi="Bookman Old Style"/>
        </w:rPr>
      </w:pPr>
      <w:r w:rsidRPr="00B91E35">
        <w:rPr>
          <w:rFonts w:ascii="Bookman Old Style" w:hAnsi="Bookman Old Style"/>
        </w:rPr>
        <w:t>Esta Comisión estima que el conocimiento acabado de las atribuciones de la DEDECON</w:t>
      </w:r>
      <w:r w:rsidR="00880989">
        <w:rPr>
          <w:rFonts w:ascii="Bookman Old Style" w:hAnsi="Bookman Old Style"/>
        </w:rPr>
        <w:t xml:space="preserve">, </w:t>
      </w:r>
      <w:r w:rsidRPr="00B91E35">
        <w:rPr>
          <w:rFonts w:ascii="Bookman Old Style" w:hAnsi="Bookman Old Style"/>
        </w:rPr>
        <w:t>en particular sus mecanismos de mediación, representación y emisión de opiniones técnicas</w:t>
      </w:r>
      <w:r w:rsidR="00880989">
        <w:rPr>
          <w:rFonts w:ascii="Bookman Old Style" w:hAnsi="Bookman Old Style"/>
        </w:rPr>
        <w:t xml:space="preserve">, </w:t>
      </w:r>
      <w:r w:rsidRPr="00B91E35">
        <w:rPr>
          <w:rFonts w:ascii="Bookman Old Style" w:hAnsi="Bookman Old Style"/>
        </w:rPr>
        <w:t>constituye una herramienta de valor para la defensa efectiva de los derechos de los contribuyentes, tanto en sede administrativa como judicial.</w:t>
      </w:r>
    </w:p>
    <w:p w14:paraId="67D0C39D" w14:textId="77777777" w:rsidR="00880989" w:rsidRPr="0014579F" w:rsidRDefault="00880989" w:rsidP="00880989">
      <w:pPr>
        <w:spacing w:after="120" w:line="276" w:lineRule="auto"/>
        <w:jc w:val="both"/>
        <w:rPr>
          <w:rFonts w:ascii="Bookman Old Style" w:hAnsi="Bookman Old Styl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62EAC" w:rsidRPr="0014579F" w14:paraId="56B4482D" w14:textId="77777777">
        <w:tc>
          <w:tcPr>
            <w:tcW w:w="9360" w:type="dxa"/>
            <w:tcBorders>
              <w:top w:val="single" w:sz="12" w:space="0" w:color="1A3A5C"/>
              <w:left w:val="thick" w:sz="18" w:space="0" w:color="1A3A5C"/>
              <w:bottom w:val="single" w:sz="2" w:space="0" w:color="1A3A5C"/>
              <w:right w:val="none" w:sz="0" w:space="0" w:color="FFFFFF"/>
            </w:tcBorders>
            <w:shd w:val="clear" w:color="auto" w:fill="E8F0F8"/>
            <w:tcMar>
              <w:top w:w="160" w:type="dxa"/>
              <w:left w:w="240" w:type="dxa"/>
              <w:bottom w:w="160" w:type="dxa"/>
              <w:right w:w="160" w:type="dxa"/>
            </w:tcMar>
          </w:tcPr>
          <w:p w14:paraId="285EC4E5" w14:textId="63BF1DC0" w:rsidR="00862EAC" w:rsidRPr="0014579F" w:rsidRDefault="003429B7" w:rsidP="0014579F">
            <w:pPr>
              <w:spacing w:line="276" w:lineRule="auto"/>
              <w:jc w:val="both"/>
              <w:rPr>
                <w:rFonts w:ascii="Bookman Old Style" w:hAnsi="Bookman Old Style"/>
              </w:rPr>
            </w:pPr>
            <w:r w:rsidRPr="0014579F">
              <w:rPr>
                <w:rFonts w:ascii="Bookman Old Style" w:hAnsi="Bookman Old Style"/>
                <w:b/>
                <w:bCs/>
                <w:i/>
                <w:iCs/>
                <w:color w:val="1A3A5C"/>
              </w:rPr>
              <w:t>Objeto principal:</w:t>
            </w:r>
            <w:r w:rsidRPr="0014579F">
              <w:rPr>
                <w:rFonts w:ascii="Bookman Old Style" w:hAnsi="Bookman Old Style"/>
                <w:b/>
                <w:bCs/>
                <w:color w:val="1A3A5C"/>
              </w:rPr>
              <w:t xml:space="preserve"> </w:t>
            </w:r>
            <w:r w:rsidRPr="0014579F">
              <w:rPr>
                <w:rFonts w:ascii="Bookman Old Style" w:hAnsi="Bookman Old Style"/>
                <w:i/>
                <w:iCs/>
              </w:rPr>
              <w:t xml:space="preserve">Velar por la protección y resguardo de los derechos de los contribuyentes en materia de tributación fiscal interna, cobro administrativo o judicial de obligaciones tributarias y tributación aduanera, con énfasis en contribuyentes vulnerables y </w:t>
            </w:r>
            <w:r w:rsidR="0014579F">
              <w:rPr>
                <w:rFonts w:ascii="Bookman Old Style" w:hAnsi="Bookman Old Style"/>
                <w:i/>
                <w:iCs/>
              </w:rPr>
              <w:t>P</w:t>
            </w:r>
            <w:r w:rsidRPr="0014579F">
              <w:rPr>
                <w:rFonts w:ascii="Bookman Old Style" w:hAnsi="Bookman Old Style"/>
                <w:i/>
                <w:iCs/>
              </w:rPr>
              <w:t>ymes (artículo 3°, Ley N° 21.210).</w:t>
            </w:r>
          </w:p>
        </w:tc>
      </w:tr>
    </w:tbl>
    <w:p w14:paraId="5D41CF05" w14:textId="77777777" w:rsidR="00862EAC" w:rsidRPr="0014579F" w:rsidRDefault="00862EAC">
      <w:pPr>
        <w:spacing w:after="120"/>
        <w:rPr>
          <w:rFonts w:ascii="Bookman Old Style" w:hAnsi="Bookman Old Style"/>
        </w:rPr>
      </w:pPr>
    </w:p>
    <w:p w14:paraId="1E934709" w14:textId="1318F040" w:rsidR="0014579F" w:rsidRPr="0014579F" w:rsidRDefault="0014579F" w:rsidP="0014579F">
      <w:pPr>
        <w:pStyle w:val="Prrafodelista"/>
        <w:numPr>
          <w:ilvl w:val="0"/>
          <w:numId w:val="3"/>
        </w:numPr>
        <w:spacing w:after="120" w:line="276" w:lineRule="auto"/>
        <w:jc w:val="both"/>
        <w:rPr>
          <w:rFonts w:ascii="Bookman Old Style" w:hAnsi="Bookman Old Style"/>
          <w:b/>
          <w:bCs/>
          <w:color w:val="1A3A5C"/>
        </w:rPr>
      </w:pPr>
      <w:r w:rsidRPr="0014579F">
        <w:rPr>
          <w:rFonts w:ascii="Bookman Old Style" w:hAnsi="Bookman Old Style"/>
          <w:b/>
          <w:bCs/>
          <w:color w:val="1A3A5C"/>
        </w:rPr>
        <w:t>Orientación, Acompañamiento y Representación Administrativa</w:t>
      </w:r>
    </w:p>
    <w:p w14:paraId="379DC8EA" w14:textId="2A6923E8" w:rsidR="00862EAC" w:rsidRPr="0014579F" w:rsidRDefault="003429B7" w:rsidP="0014579F">
      <w:pPr>
        <w:spacing w:after="120" w:line="276" w:lineRule="auto"/>
        <w:ind w:left="360"/>
        <w:jc w:val="both"/>
        <w:rPr>
          <w:rFonts w:ascii="Bookman Old Style" w:hAnsi="Bookman Old Style"/>
        </w:rPr>
      </w:pPr>
      <w:r w:rsidRPr="0014579F">
        <w:rPr>
          <w:rFonts w:ascii="Bookman Old Style" w:hAnsi="Bookman Old Style"/>
        </w:rPr>
        <w:t>La DEDECON presta tres modalidades de asistencia directa al contribuyente:</w:t>
      </w:r>
    </w:p>
    <w:p w14:paraId="3B3184B0" w14:textId="77777777" w:rsidR="00862EAC" w:rsidRPr="0014579F" w:rsidRDefault="003429B7" w:rsidP="0014579F">
      <w:pPr>
        <w:pStyle w:val="Prrafodelista"/>
        <w:numPr>
          <w:ilvl w:val="0"/>
          <w:numId w:val="2"/>
        </w:numPr>
        <w:spacing w:after="80" w:line="276" w:lineRule="auto"/>
        <w:jc w:val="both"/>
        <w:rPr>
          <w:rFonts w:ascii="Bookman Old Style" w:hAnsi="Bookman Old Style"/>
        </w:rPr>
      </w:pPr>
      <w:r w:rsidRPr="0014579F">
        <w:rPr>
          <w:rFonts w:ascii="Bookman Old Style" w:hAnsi="Bookman Old Style"/>
          <w:b/>
          <w:bCs/>
        </w:rPr>
        <w:t xml:space="preserve">Orientación: </w:t>
      </w:r>
      <w:r w:rsidRPr="0014579F">
        <w:rPr>
          <w:rFonts w:ascii="Bookman Old Style" w:hAnsi="Bookman Old Style"/>
        </w:rPr>
        <w:t>Todo contribuyente puede solicitar orientación respecto de actos, hechos u omisiones del SII, Tesorerías o Aduanas, dentro del plazo máximo de 15 días desde la recepción de la solicitud con todos sus antecedentes (artículo 34).</w:t>
      </w:r>
    </w:p>
    <w:p w14:paraId="75BC18F2" w14:textId="77777777" w:rsidR="00862EAC" w:rsidRPr="0014579F" w:rsidRDefault="003429B7" w:rsidP="0014579F">
      <w:pPr>
        <w:pStyle w:val="Prrafodelista"/>
        <w:numPr>
          <w:ilvl w:val="0"/>
          <w:numId w:val="2"/>
        </w:numPr>
        <w:spacing w:after="80" w:line="276" w:lineRule="auto"/>
        <w:jc w:val="both"/>
        <w:rPr>
          <w:rFonts w:ascii="Bookman Old Style" w:hAnsi="Bookman Old Style"/>
        </w:rPr>
      </w:pPr>
      <w:r w:rsidRPr="0014579F">
        <w:rPr>
          <w:rFonts w:ascii="Bookman Old Style" w:hAnsi="Bookman Old Style"/>
          <w:b/>
          <w:bCs/>
        </w:rPr>
        <w:t xml:space="preserve">Acompañamiento formativo: </w:t>
      </w:r>
      <w:r w:rsidRPr="0014579F">
        <w:rPr>
          <w:rFonts w:ascii="Bookman Old Style" w:hAnsi="Bookman Old Style"/>
        </w:rPr>
        <w:t>Planes de educación y formación para contribuyentes que inician operaciones, orientados a reducir errores involuntarios en el cumplimiento tributario.</w:t>
      </w:r>
    </w:p>
    <w:p w14:paraId="7E626B83" w14:textId="1EA53680" w:rsidR="00862EAC" w:rsidRDefault="003429B7" w:rsidP="00B91E35">
      <w:pPr>
        <w:pStyle w:val="Prrafodelista"/>
        <w:numPr>
          <w:ilvl w:val="0"/>
          <w:numId w:val="2"/>
        </w:numPr>
        <w:spacing w:after="80" w:line="276" w:lineRule="auto"/>
        <w:jc w:val="both"/>
        <w:rPr>
          <w:rFonts w:ascii="Bookman Old Style" w:hAnsi="Bookman Old Style"/>
        </w:rPr>
      </w:pPr>
      <w:r w:rsidRPr="00B91E35">
        <w:rPr>
          <w:rFonts w:ascii="Bookman Old Style" w:hAnsi="Bookman Old Style"/>
          <w:b/>
          <w:bCs/>
        </w:rPr>
        <w:t xml:space="preserve">Representación administrativa: </w:t>
      </w:r>
      <w:r w:rsidRPr="00B91E35">
        <w:rPr>
          <w:rFonts w:ascii="Bookman Old Style" w:hAnsi="Bookman Old Style"/>
        </w:rPr>
        <w:t xml:space="preserve">Ante el SII, Tesorerías y Aduanas, para contribuyentes </w:t>
      </w:r>
      <w:r w:rsidR="00A4023C" w:rsidRPr="00B91E35">
        <w:rPr>
          <w:rFonts w:ascii="Bookman Old Style" w:hAnsi="Bookman Old Style"/>
        </w:rPr>
        <w:t>Pro-Pyme</w:t>
      </w:r>
      <w:r w:rsidRPr="00B91E35">
        <w:rPr>
          <w:rFonts w:ascii="Bookman Old Style" w:hAnsi="Bookman Old Style"/>
        </w:rPr>
        <w:t xml:space="preserve"> con ingresos brutos anuales no superiores a 2.400 UF y personas naturales con rentas netas anuales no superiores a 30 UTA (artículo 44), en la interposición y tramitación de todo tipo de peticiones y recursos administrativos.</w:t>
      </w:r>
    </w:p>
    <w:p w14:paraId="32BB2A7A" w14:textId="77777777" w:rsidR="00B91E35" w:rsidRPr="00B91E35" w:rsidRDefault="00B91E35" w:rsidP="00B91E35">
      <w:pPr>
        <w:pStyle w:val="Sinespaciado"/>
      </w:pPr>
    </w:p>
    <w:p w14:paraId="6DEE668C" w14:textId="6DE10730" w:rsidR="0014579F" w:rsidRPr="0014579F" w:rsidRDefault="0014579F" w:rsidP="0014579F">
      <w:pPr>
        <w:pStyle w:val="Prrafodelista"/>
        <w:numPr>
          <w:ilvl w:val="0"/>
          <w:numId w:val="3"/>
        </w:numPr>
        <w:spacing w:after="120" w:line="276" w:lineRule="auto"/>
        <w:rPr>
          <w:rFonts w:ascii="Bookman Old Style" w:hAnsi="Bookman Old Style"/>
          <w:b/>
          <w:bCs/>
          <w:color w:val="1A3A5C"/>
        </w:rPr>
      </w:pPr>
      <w:r w:rsidRPr="0014579F">
        <w:rPr>
          <w:rFonts w:ascii="Bookman Old Style" w:hAnsi="Bookman Old Style"/>
          <w:b/>
          <w:bCs/>
          <w:color w:val="1A3A5C"/>
        </w:rPr>
        <w:t>Procedimiento de Queja y Recomendaciones</w:t>
      </w:r>
    </w:p>
    <w:p w14:paraId="0716DEBC" w14:textId="400DD698" w:rsidR="00862EAC" w:rsidRPr="0014579F" w:rsidRDefault="003429B7" w:rsidP="0014579F">
      <w:pPr>
        <w:spacing w:after="120" w:line="276" w:lineRule="auto"/>
        <w:jc w:val="both"/>
        <w:rPr>
          <w:rFonts w:ascii="Bookman Old Style" w:hAnsi="Bookman Old Style"/>
        </w:rPr>
      </w:pPr>
      <w:r w:rsidRPr="0014579F">
        <w:rPr>
          <w:rFonts w:ascii="Bookman Old Style" w:hAnsi="Bookman Old Style"/>
        </w:rPr>
        <w:t>Cualquier contribuyente puede presentar una queja para poner en conocimiento de la DEDECON un acto administrativo, acción u omisión de un funcionario del SII que vulnere la ley o sus derechos, solicitando la realización de revisiones y la proposición de medidas de resguardo (artículo 35).</w:t>
      </w:r>
    </w:p>
    <w:p w14:paraId="20CC5986" w14:textId="715C4BF6" w:rsidR="00862EAC" w:rsidRPr="0014579F" w:rsidRDefault="003429B7" w:rsidP="0014579F">
      <w:pPr>
        <w:spacing w:after="120" w:line="276" w:lineRule="auto"/>
        <w:jc w:val="both"/>
        <w:rPr>
          <w:rFonts w:ascii="Bookman Old Style" w:hAnsi="Bookman Old Style"/>
        </w:rPr>
      </w:pPr>
      <w:r w:rsidRPr="0014579F">
        <w:rPr>
          <w:rFonts w:ascii="Bookman Old Style" w:hAnsi="Bookman Old Style"/>
        </w:rPr>
        <w:t xml:space="preserve">Declarada procedente la queja, el funcionario del SII dispone de 8 días para evacuar un informe de respuesta. Concluida la revisión, la DEDECON emite una recomendación fundada. Dichas recomendaciones </w:t>
      </w:r>
      <w:r w:rsidR="0014579F">
        <w:rPr>
          <w:rFonts w:ascii="Bookman Old Style" w:hAnsi="Bookman Old Style"/>
        </w:rPr>
        <w:t>no son</w:t>
      </w:r>
      <w:r w:rsidRPr="0014579F">
        <w:rPr>
          <w:rFonts w:ascii="Bookman Old Style" w:hAnsi="Bookman Old Style"/>
        </w:rPr>
        <w:t xml:space="preserve"> vinculantes para el SII, pero pueden ser acompañadas como antecedentes en procedimientos administrativos y judiciales. En casos de vulneraciones graves o reiteradas, se publica en el Diario Oficial (artículo 42).</w:t>
      </w:r>
    </w:p>
    <w:p w14:paraId="5A932F83" w14:textId="071766F5" w:rsidR="00862EAC" w:rsidRPr="0014579F" w:rsidRDefault="00862EAC" w:rsidP="00B91E35">
      <w:pPr>
        <w:pStyle w:val="Sinespaciado"/>
      </w:pPr>
    </w:p>
    <w:p w14:paraId="16830766" w14:textId="3BBF8F06" w:rsidR="0014579F" w:rsidRPr="0014579F" w:rsidRDefault="0014579F" w:rsidP="0014579F">
      <w:pPr>
        <w:pStyle w:val="Prrafodelista"/>
        <w:numPr>
          <w:ilvl w:val="0"/>
          <w:numId w:val="3"/>
        </w:numPr>
        <w:spacing w:after="120" w:line="276" w:lineRule="auto"/>
        <w:rPr>
          <w:rFonts w:ascii="Bookman Old Style" w:hAnsi="Bookman Old Style"/>
          <w:b/>
          <w:bCs/>
          <w:color w:val="1A3A5C"/>
        </w:rPr>
      </w:pPr>
      <w:r w:rsidRPr="0014579F">
        <w:rPr>
          <w:rFonts w:ascii="Bookman Old Style" w:hAnsi="Bookman Old Style"/>
          <w:b/>
          <w:bCs/>
          <w:color w:val="1A3A5C"/>
        </w:rPr>
        <w:t>Mediación Tributaria</w:t>
      </w:r>
    </w:p>
    <w:p w14:paraId="19D4CF10" w14:textId="06ED0707" w:rsidR="00862EAC" w:rsidRPr="0014579F" w:rsidRDefault="003429B7" w:rsidP="0014579F">
      <w:pPr>
        <w:spacing w:after="120" w:line="276" w:lineRule="auto"/>
        <w:jc w:val="both"/>
        <w:rPr>
          <w:rFonts w:ascii="Bookman Old Style" w:hAnsi="Bookman Old Style"/>
        </w:rPr>
      </w:pPr>
      <w:r w:rsidRPr="0014579F">
        <w:rPr>
          <w:rFonts w:ascii="Bookman Old Style" w:hAnsi="Bookman Old Style"/>
        </w:rPr>
        <w:t xml:space="preserve">La mediación constituye el mecanismo más relevante de resolución de conflictos que contempla la ley. La DEDECON actúa como tercero facilitador para resolver extrajudicialmente los conflictos entre contribuyentes y el SII (artículo 48). Procede cuando el contribuyente discrepa </w:t>
      </w:r>
      <w:r w:rsidR="00A4023C" w:rsidRPr="0014579F">
        <w:rPr>
          <w:rFonts w:ascii="Bookman Old Style" w:hAnsi="Bookman Old Style"/>
        </w:rPr>
        <w:t>de</w:t>
      </w:r>
      <w:r w:rsidRPr="0014579F">
        <w:rPr>
          <w:rFonts w:ascii="Bookman Old Style" w:hAnsi="Bookman Old Style"/>
        </w:rPr>
        <w:t xml:space="preserve"> la calificación jurídica o fáctica de actos del SII emanados del ejercicio de su potestad fiscalizadora, incluyendo liquidaciones, giros o resoluciones que incidan en el pago de impuestos.</w:t>
      </w:r>
    </w:p>
    <w:p w14:paraId="141851C3" w14:textId="77777777" w:rsidR="00862EAC" w:rsidRPr="0014579F" w:rsidRDefault="003429B7" w:rsidP="0014579F">
      <w:pPr>
        <w:spacing w:after="120" w:line="276" w:lineRule="auto"/>
        <w:jc w:val="both"/>
        <w:rPr>
          <w:rFonts w:ascii="Bookman Old Style" w:hAnsi="Bookman Old Style"/>
        </w:rPr>
      </w:pPr>
      <w:r w:rsidRPr="0014579F">
        <w:rPr>
          <w:rFonts w:ascii="Bookman Old Style" w:hAnsi="Bookman Old Style"/>
        </w:rPr>
        <w:t>Sus características fundamentales son:</w:t>
      </w:r>
    </w:p>
    <w:p w14:paraId="04055B1E" w14:textId="77777777" w:rsidR="00862EAC" w:rsidRPr="0014579F" w:rsidRDefault="003429B7" w:rsidP="0014579F">
      <w:pPr>
        <w:pStyle w:val="Prrafodelista"/>
        <w:numPr>
          <w:ilvl w:val="0"/>
          <w:numId w:val="2"/>
        </w:numPr>
        <w:spacing w:after="80" w:line="276" w:lineRule="auto"/>
        <w:jc w:val="both"/>
        <w:rPr>
          <w:rFonts w:ascii="Bookman Old Style" w:hAnsi="Bookman Old Style"/>
        </w:rPr>
      </w:pPr>
      <w:r w:rsidRPr="0014579F">
        <w:rPr>
          <w:rFonts w:ascii="Bookman Old Style" w:hAnsi="Bookman Old Style"/>
        </w:rPr>
        <w:t>Procedimiento flexible, sin mayores formalismos, con presunción de buena fe de las partes.</w:t>
      </w:r>
    </w:p>
    <w:p w14:paraId="5C8546FE" w14:textId="77777777" w:rsidR="00862EAC" w:rsidRPr="0014579F" w:rsidRDefault="003429B7" w:rsidP="0014579F">
      <w:pPr>
        <w:pStyle w:val="Prrafodelista"/>
        <w:numPr>
          <w:ilvl w:val="0"/>
          <w:numId w:val="2"/>
        </w:numPr>
        <w:spacing w:after="80" w:line="276" w:lineRule="auto"/>
        <w:jc w:val="both"/>
        <w:rPr>
          <w:rFonts w:ascii="Bookman Old Style" w:hAnsi="Bookman Old Style"/>
        </w:rPr>
      </w:pPr>
      <w:r w:rsidRPr="0014579F">
        <w:rPr>
          <w:rFonts w:ascii="Bookman Old Style" w:hAnsi="Bookman Old Style"/>
        </w:rPr>
        <w:t>No suspende los plazos del Código Tributario en ningún caso.</w:t>
      </w:r>
    </w:p>
    <w:p w14:paraId="000167DA" w14:textId="77777777" w:rsidR="00862EAC" w:rsidRPr="0014579F" w:rsidRDefault="003429B7" w:rsidP="0014579F">
      <w:pPr>
        <w:pStyle w:val="Prrafodelista"/>
        <w:numPr>
          <w:ilvl w:val="0"/>
          <w:numId w:val="2"/>
        </w:numPr>
        <w:spacing w:after="80" w:line="276" w:lineRule="auto"/>
        <w:jc w:val="both"/>
        <w:rPr>
          <w:rFonts w:ascii="Bookman Old Style" w:hAnsi="Bookman Old Style"/>
        </w:rPr>
      </w:pPr>
      <w:r w:rsidRPr="0014579F">
        <w:rPr>
          <w:rFonts w:ascii="Bookman Old Style" w:hAnsi="Bookman Old Style"/>
        </w:rPr>
        <w:t>Duración máxima de 50 días desde la primera audiencia, prorrogable en 10 días adicionales por acuerdo de partes (artículo 51).</w:t>
      </w:r>
    </w:p>
    <w:p w14:paraId="50F9C70C" w14:textId="77777777" w:rsidR="00862EAC" w:rsidRPr="0014579F" w:rsidRDefault="003429B7" w:rsidP="0014579F">
      <w:pPr>
        <w:pStyle w:val="Prrafodelista"/>
        <w:numPr>
          <w:ilvl w:val="0"/>
          <w:numId w:val="2"/>
        </w:numPr>
        <w:spacing w:after="80" w:line="276" w:lineRule="auto"/>
        <w:jc w:val="both"/>
        <w:rPr>
          <w:rFonts w:ascii="Bookman Old Style" w:hAnsi="Bookman Old Style"/>
        </w:rPr>
      </w:pPr>
      <w:r w:rsidRPr="0014579F">
        <w:rPr>
          <w:rFonts w:ascii="Bookman Old Style" w:hAnsi="Bookman Old Style"/>
        </w:rPr>
        <w:t>La solicitud procede desde la notificación del acto y hasta antes de la interposición del reclamo ante el TTA (artículo 52).</w:t>
      </w:r>
    </w:p>
    <w:p w14:paraId="195601B0" w14:textId="77777777" w:rsidR="00862EAC" w:rsidRPr="0014579F" w:rsidRDefault="003429B7" w:rsidP="0014579F">
      <w:pPr>
        <w:pStyle w:val="Prrafodelista"/>
        <w:numPr>
          <w:ilvl w:val="0"/>
          <w:numId w:val="2"/>
        </w:numPr>
        <w:spacing w:after="80" w:line="276" w:lineRule="auto"/>
        <w:jc w:val="both"/>
        <w:rPr>
          <w:rFonts w:ascii="Bookman Old Style" w:hAnsi="Bookman Old Style"/>
        </w:rPr>
      </w:pPr>
      <w:r w:rsidRPr="0014579F">
        <w:rPr>
          <w:rFonts w:ascii="Bookman Old Style" w:hAnsi="Bookman Old Style"/>
        </w:rPr>
        <w:t>La DEDECON elabora una propuesta de acuerdo fundada; el Director Regional del SII debe designar un abogado para las audiencias (artículo 54).</w:t>
      </w:r>
    </w:p>
    <w:p w14:paraId="138B749D" w14:textId="77777777" w:rsidR="00862EAC" w:rsidRPr="0014579F" w:rsidRDefault="003429B7" w:rsidP="0014579F">
      <w:pPr>
        <w:pStyle w:val="Prrafodelista"/>
        <w:numPr>
          <w:ilvl w:val="0"/>
          <w:numId w:val="2"/>
        </w:numPr>
        <w:spacing w:after="80" w:line="276" w:lineRule="auto"/>
        <w:jc w:val="both"/>
        <w:rPr>
          <w:rFonts w:ascii="Bookman Old Style" w:hAnsi="Bookman Old Style"/>
        </w:rPr>
      </w:pPr>
      <w:r w:rsidRPr="0014579F">
        <w:rPr>
          <w:rFonts w:ascii="Bookman Old Style" w:hAnsi="Bookman Old Style"/>
        </w:rPr>
        <w:t>La DEDECON promueve la condonación de intereses y multas conforme a las políticas del Ministerio de Hacienda (artículo 55).</w:t>
      </w:r>
    </w:p>
    <w:p w14:paraId="68055CEF" w14:textId="77777777" w:rsidR="00862EAC" w:rsidRPr="0014579F" w:rsidRDefault="00862EAC" w:rsidP="0014579F">
      <w:pPr>
        <w:spacing w:after="80"/>
        <w:jc w:val="both"/>
        <w:rPr>
          <w:rFonts w:ascii="Bookman Old Style" w:hAnsi="Bookman Old Styl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62EAC" w:rsidRPr="0014579F" w14:paraId="7FC8C906" w14:textId="77777777">
        <w:tc>
          <w:tcPr>
            <w:tcW w:w="9360" w:type="dxa"/>
            <w:tcBorders>
              <w:top w:val="single" w:sz="12" w:space="0" w:color="1A3A5C"/>
              <w:left w:val="thick" w:sz="18" w:space="0" w:color="1A3A5C"/>
              <w:bottom w:val="single" w:sz="2" w:space="0" w:color="1A3A5C"/>
              <w:right w:val="none" w:sz="0" w:space="0" w:color="FFFFFF"/>
            </w:tcBorders>
            <w:shd w:val="clear" w:color="auto" w:fill="E8F0F8"/>
            <w:tcMar>
              <w:top w:w="160" w:type="dxa"/>
              <w:left w:w="240" w:type="dxa"/>
              <w:bottom w:w="160" w:type="dxa"/>
              <w:right w:w="160" w:type="dxa"/>
            </w:tcMar>
          </w:tcPr>
          <w:p w14:paraId="30CB3BFB" w14:textId="77777777" w:rsidR="00862EAC" w:rsidRPr="0014579F" w:rsidRDefault="003429B7" w:rsidP="0014579F">
            <w:pPr>
              <w:spacing w:line="276" w:lineRule="auto"/>
              <w:jc w:val="both"/>
              <w:rPr>
                <w:rFonts w:ascii="Bookman Old Style" w:hAnsi="Bookman Old Style"/>
                <w:i/>
                <w:iCs/>
              </w:rPr>
            </w:pPr>
            <w:r w:rsidRPr="0014579F">
              <w:rPr>
                <w:rFonts w:ascii="Bookman Old Style" w:hAnsi="Bookman Old Style"/>
                <w:b/>
                <w:bCs/>
                <w:i/>
                <w:iCs/>
                <w:color w:val="1A3A5C"/>
              </w:rPr>
              <w:t xml:space="preserve">Efecto de la transacción: </w:t>
            </w:r>
            <w:r w:rsidRPr="0014579F">
              <w:rPr>
                <w:rFonts w:ascii="Bookman Old Style" w:hAnsi="Bookman Old Style"/>
                <w:i/>
                <w:iCs/>
              </w:rPr>
              <w:t>La transacción alcanzada en mediación es confidencial, tiene calidad de instrumento público y produce efecto de cosa juzgada para el caso concreto (artículo 57, Ley N° 21.210). Este efecto la equipara en su fuerza obligatoria a una sentencia judicial firme.</w:t>
            </w:r>
          </w:p>
        </w:tc>
      </w:tr>
    </w:tbl>
    <w:p w14:paraId="54D4D7E6" w14:textId="77777777" w:rsidR="00862EAC" w:rsidRPr="0014579F" w:rsidRDefault="00862EAC">
      <w:pPr>
        <w:spacing w:after="160"/>
        <w:rPr>
          <w:rFonts w:ascii="Bookman Old Style" w:hAnsi="Bookman Old Style"/>
        </w:rPr>
      </w:pPr>
    </w:p>
    <w:p w14:paraId="70C06B3F" w14:textId="6C72080C" w:rsidR="0014579F" w:rsidRDefault="003429B7" w:rsidP="00B91E35">
      <w:pPr>
        <w:spacing w:before="80" w:after="80"/>
        <w:jc w:val="center"/>
        <w:rPr>
          <w:rFonts w:ascii="Bookman Old Style" w:hAnsi="Bookman Old Style"/>
        </w:rPr>
      </w:pPr>
      <w:r w:rsidRPr="0014579F">
        <w:rPr>
          <w:rFonts w:ascii="Bookman Old Style" w:hAnsi="Bookman Old Style"/>
          <w:noProof/>
        </w:rPr>
        <w:drawing>
          <wp:inline distT="0" distB="0" distL="0" distR="0" wp14:anchorId="785D328C" wp14:editId="2A692271">
            <wp:extent cx="4381500" cy="1714500"/>
            <wp:effectExtent l="0" t="0" r="0" b="0"/>
            <wp:docPr id="627407198" name="Informes" descr="Informes técnicos tributarios" title="Informes Técnic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89088" w14:textId="77777777" w:rsidR="00880989" w:rsidRDefault="00880989" w:rsidP="00880989">
      <w:pPr>
        <w:rPr>
          <w:rFonts w:ascii="Bookman Old Style" w:hAnsi="Bookman Old Style"/>
        </w:rPr>
      </w:pPr>
    </w:p>
    <w:p w14:paraId="0C3051DC" w14:textId="4D228DC4" w:rsidR="0014579F" w:rsidRPr="00880989" w:rsidRDefault="0014579F" w:rsidP="00880989">
      <w:pPr>
        <w:pStyle w:val="Prrafodelista"/>
        <w:numPr>
          <w:ilvl w:val="0"/>
          <w:numId w:val="3"/>
        </w:numPr>
        <w:rPr>
          <w:rFonts w:ascii="Bookman Old Style" w:hAnsi="Bookman Old Style"/>
        </w:rPr>
      </w:pPr>
      <w:r w:rsidRPr="00880989">
        <w:rPr>
          <w:rFonts w:ascii="Bookman Old Style" w:hAnsi="Bookman Old Style"/>
          <w:b/>
          <w:bCs/>
          <w:color w:val="1A3A5C"/>
        </w:rPr>
        <w:t>Opiniones Técnicas e Informes</w:t>
      </w:r>
    </w:p>
    <w:p w14:paraId="01ECB7D5" w14:textId="77777777" w:rsidR="00880989" w:rsidRPr="00880989" w:rsidRDefault="00880989" w:rsidP="00880989">
      <w:pPr>
        <w:pStyle w:val="Prrafodelista"/>
        <w:ind w:left="1080"/>
        <w:rPr>
          <w:rFonts w:ascii="Bookman Old Style" w:hAnsi="Bookman Old Style"/>
        </w:rPr>
      </w:pPr>
    </w:p>
    <w:p w14:paraId="220E7BF9" w14:textId="5CFA5F8B" w:rsidR="00862EAC" w:rsidRPr="0014579F" w:rsidRDefault="003429B7" w:rsidP="0014579F">
      <w:pPr>
        <w:spacing w:after="120" w:line="276" w:lineRule="auto"/>
        <w:jc w:val="both"/>
        <w:rPr>
          <w:rFonts w:ascii="Bookman Old Style" w:hAnsi="Bookman Old Style"/>
        </w:rPr>
      </w:pPr>
      <w:r w:rsidRPr="0014579F">
        <w:rPr>
          <w:rFonts w:ascii="Bookman Old Style" w:hAnsi="Bookman Old Style"/>
        </w:rPr>
        <w:t>La DEDECON cuenta con amplias atribuciones para emitir pronunciamientos técnicos en materia tributaria:</w:t>
      </w:r>
    </w:p>
    <w:p w14:paraId="20B6BA6E" w14:textId="2B624151" w:rsidR="00862EAC" w:rsidRPr="0014579F" w:rsidRDefault="003429B7" w:rsidP="0014579F">
      <w:pPr>
        <w:pStyle w:val="Prrafodelista"/>
        <w:numPr>
          <w:ilvl w:val="0"/>
          <w:numId w:val="2"/>
        </w:numPr>
        <w:spacing w:after="80" w:line="276" w:lineRule="auto"/>
        <w:jc w:val="both"/>
        <w:rPr>
          <w:rFonts w:ascii="Bookman Old Style" w:hAnsi="Bookman Old Style"/>
        </w:rPr>
      </w:pPr>
      <w:r w:rsidRPr="0014579F">
        <w:rPr>
          <w:rFonts w:ascii="Bookman Old Style" w:hAnsi="Bookman Old Style"/>
          <w:b/>
          <w:bCs/>
        </w:rPr>
        <w:t xml:space="preserve">Opiniones sobre casos particulares (artículo 58): </w:t>
      </w:r>
      <w:r w:rsidRPr="0014579F">
        <w:rPr>
          <w:rFonts w:ascii="Bookman Old Style" w:hAnsi="Bookman Old Style"/>
        </w:rPr>
        <w:t xml:space="preserve">A solicitud del contribuyente con interés directo, sobre la aplicación de normas tributarias a situaciones concretas en liquidaciones, giros u otras actuaciones del SII. </w:t>
      </w:r>
      <w:r w:rsidR="0014579F">
        <w:rPr>
          <w:rFonts w:ascii="Bookman Old Style" w:hAnsi="Bookman Old Style"/>
        </w:rPr>
        <w:t>No son</w:t>
      </w:r>
      <w:r w:rsidRPr="0014579F">
        <w:rPr>
          <w:rFonts w:ascii="Bookman Old Style" w:hAnsi="Bookman Old Style"/>
        </w:rPr>
        <w:t xml:space="preserve"> vinculantes y se publican en el sitio web institucional.</w:t>
      </w:r>
    </w:p>
    <w:p w14:paraId="1D1ABF91" w14:textId="77777777" w:rsidR="00862EAC" w:rsidRPr="0014579F" w:rsidRDefault="003429B7" w:rsidP="0014579F">
      <w:pPr>
        <w:pStyle w:val="Prrafodelista"/>
        <w:numPr>
          <w:ilvl w:val="0"/>
          <w:numId w:val="2"/>
        </w:numPr>
        <w:spacing w:after="80" w:line="276" w:lineRule="auto"/>
        <w:jc w:val="both"/>
        <w:rPr>
          <w:rFonts w:ascii="Bookman Old Style" w:hAnsi="Bookman Old Style"/>
        </w:rPr>
      </w:pPr>
      <w:r w:rsidRPr="0014579F">
        <w:rPr>
          <w:rFonts w:ascii="Bookman Old Style" w:hAnsi="Bookman Old Style"/>
          <w:b/>
          <w:bCs/>
        </w:rPr>
        <w:t xml:space="preserve">Informes sobre problemas sistémicos (artículo 61): </w:t>
      </w:r>
      <w:r w:rsidRPr="0014579F">
        <w:rPr>
          <w:rFonts w:ascii="Bookman Old Style" w:hAnsi="Bookman Old Style"/>
        </w:rPr>
        <w:t>Revisiones y estudios para detectar problemas generales que afecten a grupos o sectores de contribuyentes. La DEDECON puede emitir informes públicos con propuestas de solución admisibles como antecedentes en sede judicial y administrativa.</w:t>
      </w:r>
    </w:p>
    <w:p w14:paraId="2633DA98" w14:textId="77777777" w:rsidR="00862EAC" w:rsidRPr="0014579F" w:rsidRDefault="003429B7" w:rsidP="0014579F">
      <w:pPr>
        <w:pStyle w:val="Prrafodelista"/>
        <w:numPr>
          <w:ilvl w:val="0"/>
          <w:numId w:val="2"/>
        </w:numPr>
        <w:spacing w:after="80" w:line="276" w:lineRule="auto"/>
        <w:jc w:val="both"/>
        <w:rPr>
          <w:rFonts w:ascii="Bookman Old Style" w:hAnsi="Bookman Old Style"/>
        </w:rPr>
      </w:pPr>
      <w:r w:rsidRPr="0014579F">
        <w:rPr>
          <w:rFonts w:ascii="Bookman Old Style" w:hAnsi="Bookman Old Style"/>
          <w:b/>
          <w:bCs/>
        </w:rPr>
        <w:t xml:space="preserve">Opiniones sobre regulación administrativa interna (artículo 67): </w:t>
      </w:r>
      <w:r w:rsidRPr="0014579F">
        <w:rPr>
          <w:rFonts w:ascii="Bookman Old Style" w:hAnsi="Bookman Old Style"/>
        </w:rPr>
        <w:t>Sobre instrucciones no públicas del SII que puedan vulnerar derechos de los contribuyentes, con formulación de propuestas de modificación.</w:t>
      </w:r>
    </w:p>
    <w:p w14:paraId="2E55C68C" w14:textId="77777777" w:rsidR="00862EAC" w:rsidRPr="0014579F" w:rsidRDefault="003429B7" w:rsidP="0014579F">
      <w:pPr>
        <w:pStyle w:val="Prrafodelista"/>
        <w:numPr>
          <w:ilvl w:val="0"/>
          <w:numId w:val="2"/>
        </w:numPr>
        <w:spacing w:after="80" w:line="276" w:lineRule="auto"/>
        <w:jc w:val="both"/>
        <w:rPr>
          <w:rFonts w:ascii="Bookman Old Style" w:hAnsi="Bookman Old Style"/>
        </w:rPr>
      </w:pPr>
      <w:r w:rsidRPr="0014579F">
        <w:rPr>
          <w:rFonts w:ascii="Bookman Old Style" w:hAnsi="Bookman Old Style"/>
          <w:b/>
          <w:bCs/>
        </w:rPr>
        <w:t xml:space="preserve">Opiniones a solicitud del SII o Ministerio de Hacienda (artículo 69): </w:t>
      </w:r>
      <w:r w:rsidRPr="0014579F">
        <w:rPr>
          <w:rFonts w:ascii="Bookman Old Style" w:hAnsi="Bookman Old Style"/>
        </w:rPr>
        <w:t>Sobre normativa tributaria vigente, publicadas en el sitio web, sin efecto vinculante.</w:t>
      </w:r>
    </w:p>
    <w:p w14:paraId="2BAEADB8" w14:textId="77777777" w:rsidR="00862EAC" w:rsidRPr="0014579F" w:rsidRDefault="003429B7" w:rsidP="0014579F">
      <w:pPr>
        <w:pStyle w:val="Prrafodelista"/>
        <w:numPr>
          <w:ilvl w:val="0"/>
          <w:numId w:val="2"/>
        </w:numPr>
        <w:spacing w:after="80" w:line="276" w:lineRule="auto"/>
        <w:jc w:val="both"/>
        <w:rPr>
          <w:rFonts w:ascii="Bookman Old Style" w:hAnsi="Bookman Old Style"/>
        </w:rPr>
      </w:pPr>
      <w:r w:rsidRPr="0014579F">
        <w:rPr>
          <w:rFonts w:ascii="Bookman Old Style" w:hAnsi="Bookman Old Style"/>
          <w:b/>
          <w:bCs/>
        </w:rPr>
        <w:t xml:space="preserve">Solicitud de aclaración de criterios contradictorios (artículo 76): </w:t>
      </w:r>
      <w:r w:rsidRPr="0014579F">
        <w:rPr>
          <w:rFonts w:ascii="Bookman Old Style" w:hAnsi="Bookman Old Style"/>
        </w:rPr>
        <w:t>Cuando detecte dos o más oficios con criterios no coincidentes, puede solicitar al SII un informe aclaratorio, el que debe evacuarse en 15 días identificando la interpretación administrativa vigente.</w:t>
      </w:r>
    </w:p>
    <w:p w14:paraId="674B42E9" w14:textId="77777777" w:rsidR="00862EAC" w:rsidRPr="0014579F" w:rsidRDefault="003429B7" w:rsidP="0014579F">
      <w:pPr>
        <w:pStyle w:val="Prrafodelista"/>
        <w:numPr>
          <w:ilvl w:val="0"/>
          <w:numId w:val="2"/>
        </w:numPr>
        <w:spacing w:after="80" w:line="276" w:lineRule="auto"/>
        <w:jc w:val="both"/>
        <w:rPr>
          <w:rFonts w:ascii="Bookman Old Style" w:hAnsi="Bookman Old Style"/>
        </w:rPr>
      </w:pPr>
      <w:r w:rsidRPr="0014579F">
        <w:rPr>
          <w:rFonts w:ascii="Bookman Old Style" w:hAnsi="Bookman Old Style"/>
          <w:b/>
          <w:bCs/>
        </w:rPr>
        <w:t xml:space="preserve">Propuestas de modificación normativa (artículo 66): </w:t>
      </w:r>
      <w:r w:rsidRPr="0014579F">
        <w:rPr>
          <w:rFonts w:ascii="Bookman Old Style" w:hAnsi="Bookman Old Style"/>
        </w:rPr>
        <w:t>La DEDECON puede proponer al Ministerio de Hacienda modificaciones a normas de tributación fiscal interna, respaldadas en un informe jurídico de carácter público.</w:t>
      </w:r>
    </w:p>
    <w:p w14:paraId="4D52C108" w14:textId="77777777" w:rsidR="00862EAC" w:rsidRPr="0014579F" w:rsidRDefault="00862EAC" w:rsidP="00B91E35">
      <w:pPr>
        <w:pStyle w:val="Sinespaciado"/>
      </w:pPr>
    </w:p>
    <w:p w14:paraId="0C1289E3" w14:textId="3E4076F2" w:rsidR="0014579F" w:rsidRPr="0014579F" w:rsidRDefault="0014579F" w:rsidP="0014579F">
      <w:pPr>
        <w:pStyle w:val="Prrafodelista"/>
        <w:numPr>
          <w:ilvl w:val="0"/>
          <w:numId w:val="3"/>
        </w:numPr>
        <w:spacing w:after="120" w:line="276" w:lineRule="auto"/>
        <w:jc w:val="both"/>
        <w:rPr>
          <w:rFonts w:ascii="Bookman Old Style" w:hAnsi="Bookman Old Style"/>
          <w:b/>
          <w:bCs/>
          <w:color w:val="1A3A5C"/>
        </w:rPr>
      </w:pPr>
      <w:r w:rsidRPr="0014579F">
        <w:rPr>
          <w:rFonts w:ascii="Bookman Old Style" w:hAnsi="Bookman Old Style"/>
          <w:b/>
          <w:bCs/>
          <w:color w:val="1A3A5C"/>
        </w:rPr>
        <w:t>Representación Judicial</w:t>
      </w:r>
    </w:p>
    <w:p w14:paraId="3DF27AFE" w14:textId="06544665" w:rsidR="00862EAC" w:rsidRDefault="003429B7" w:rsidP="0014579F">
      <w:pPr>
        <w:spacing w:after="120" w:line="276" w:lineRule="auto"/>
        <w:jc w:val="both"/>
        <w:rPr>
          <w:rFonts w:ascii="Bookman Old Style" w:hAnsi="Bookman Old Style"/>
        </w:rPr>
      </w:pPr>
      <w:r w:rsidRPr="0014579F">
        <w:rPr>
          <w:rFonts w:ascii="Bookman Old Style" w:hAnsi="Bookman Old Style"/>
        </w:rPr>
        <w:t>Para los contribuyentes señalados en el artículo 44, la DEDECON puede representarlos judicialmente ante los Tribunales Tributarios y Aduaneros y tribunales superiores de justicia en el reclamo por vulneración de derechos (artículo 57 bis). En el ejercicio de esta representación, puede interponer todos los recursos ordinarios y extraordinarios disponibles, conciliar conforme al artículo 132 bis del Código Tributario y proponer bases de avenimiento extrajudicial ante el Director del SII según el artículo 132 ter del mismo cuerpo legal.</w:t>
      </w:r>
    </w:p>
    <w:p w14:paraId="7DC49B33" w14:textId="77777777" w:rsidR="00880989" w:rsidRDefault="00880989" w:rsidP="0014579F">
      <w:pPr>
        <w:spacing w:after="120" w:line="276" w:lineRule="auto"/>
        <w:jc w:val="both"/>
        <w:rPr>
          <w:rFonts w:ascii="Bookman Old Style" w:hAnsi="Bookman Old Style"/>
        </w:rPr>
      </w:pPr>
    </w:p>
    <w:p w14:paraId="0AA53784" w14:textId="77777777" w:rsidR="00880989" w:rsidRPr="0014579F" w:rsidRDefault="00880989" w:rsidP="0014579F">
      <w:pPr>
        <w:spacing w:after="120" w:line="276" w:lineRule="auto"/>
        <w:jc w:val="both"/>
        <w:rPr>
          <w:rFonts w:ascii="Bookman Old Style" w:hAnsi="Bookman Old Style"/>
        </w:rPr>
      </w:pPr>
    </w:p>
    <w:p w14:paraId="4F01C030" w14:textId="1136CB34" w:rsidR="0014579F" w:rsidRPr="0014579F" w:rsidRDefault="0014579F" w:rsidP="0014579F">
      <w:pPr>
        <w:pStyle w:val="Prrafodelista"/>
        <w:numPr>
          <w:ilvl w:val="0"/>
          <w:numId w:val="3"/>
        </w:numPr>
        <w:spacing w:after="120" w:line="276" w:lineRule="auto"/>
        <w:jc w:val="both"/>
        <w:rPr>
          <w:rFonts w:ascii="Bookman Old Style" w:hAnsi="Bookman Old Style"/>
          <w:b/>
          <w:bCs/>
          <w:color w:val="1A3A5C"/>
        </w:rPr>
      </w:pPr>
      <w:r w:rsidRPr="0014579F">
        <w:rPr>
          <w:rFonts w:ascii="Bookman Old Style" w:hAnsi="Bookman Old Style"/>
          <w:b/>
          <w:bCs/>
          <w:color w:val="1A3A5C"/>
        </w:rPr>
        <w:t>Coordinación Interinstitucional</w:t>
      </w:r>
    </w:p>
    <w:p w14:paraId="36FCAA83" w14:textId="69C81039" w:rsidR="00862EAC" w:rsidRPr="0014579F" w:rsidRDefault="003429B7" w:rsidP="0014579F">
      <w:pPr>
        <w:spacing w:after="120" w:line="276" w:lineRule="auto"/>
        <w:jc w:val="both"/>
        <w:rPr>
          <w:rFonts w:ascii="Bookman Old Style" w:hAnsi="Bookman Old Style"/>
        </w:rPr>
      </w:pPr>
      <w:r w:rsidRPr="0014579F">
        <w:rPr>
          <w:rFonts w:ascii="Bookman Old Style" w:hAnsi="Bookman Old Style"/>
        </w:rPr>
        <w:t>La DEDECON celebra reuniones periódicas de carácter ordinario</w:t>
      </w:r>
      <w:r w:rsidR="0014579F">
        <w:rPr>
          <w:rFonts w:ascii="Bookman Old Style" w:hAnsi="Bookman Old Style"/>
        </w:rPr>
        <w:t xml:space="preserve">, </w:t>
      </w:r>
      <w:r w:rsidRPr="0014579F">
        <w:rPr>
          <w:rFonts w:ascii="Bookman Old Style" w:hAnsi="Bookman Old Style"/>
        </w:rPr>
        <w:t>con frecuencia trimestral</w:t>
      </w:r>
      <w:r w:rsidR="0014579F">
        <w:rPr>
          <w:rFonts w:ascii="Bookman Old Style" w:hAnsi="Bookman Old Style"/>
        </w:rPr>
        <w:t>,</w:t>
      </w:r>
      <w:r w:rsidRPr="0014579F">
        <w:rPr>
          <w:rFonts w:ascii="Bookman Old Style" w:hAnsi="Bookman Old Style"/>
        </w:rPr>
        <w:t xml:space="preserve"> con el SII, Tesorerías y Aduanas para promover la cooperación institucional, analizar problemas que afecten los derechos de los contribuyentes y adoptar medidas de coordinación en materia de educación tributaria (artículos 70 y 72). Las actas de dichas reuniones son publicadas en su sitio web, garantizando transparencia institucional.</w:t>
      </w:r>
    </w:p>
    <w:p w14:paraId="0F6C9C99" w14:textId="54C04544" w:rsidR="0014579F" w:rsidRPr="0014579F" w:rsidRDefault="0014579F" w:rsidP="0014579F">
      <w:pPr>
        <w:pStyle w:val="Prrafodelista"/>
        <w:numPr>
          <w:ilvl w:val="0"/>
          <w:numId w:val="3"/>
        </w:numPr>
        <w:spacing w:after="120" w:line="276" w:lineRule="auto"/>
        <w:jc w:val="both"/>
        <w:rPr>
          <w:rFonts w:ascii="Bookman Old Style" w:hAnsi="Bookman Old Style"/>
          <w:b/>
          <w:bCs/>
          <w:color w:val="1A3A5C"/>
        </w:rPr>
      </w:pPr>
      <w:r w:rsidRPr="0014579F">
        <w:rPr>
          <w:rFonts w:ascii="Bookman Old Style" w:hAnsi="Bookman Old Style"/>
          <w:b/>
          <w:bCs/>
          <w:color w:val="1A3A5C"/>
        </w:rPr>
        <w:t>Conclusión</w:t>
      </w:r>
    </w:p>
    <w:p w14:paraId="29F8A383" w14:textId="12285EDA" w:rsidR="00862EAC" w:rsidRDefault="003429B7" w:rsidP="00B91E35">
      <w:pPr>
        <w:spacing w:after="120" w:line="276" w:lineRule="auto"/>
        <w:jc w:val="both"/>
        <w:rPr>
          <w:rFonts w:ascii="Bookman Old Style" w:hAnsi="Bookman Old Style"/>
        </w:rPr>
      </w:pPr>
      <w:r w:rsidRPr="0014579F">
        <w:rPr>
          <w:rFonts w:ascii="Bookman Old Style" w:hAnsi="Bookman Old Style"/>
        </w:rPr>
        <w:t>La DEDECON representa un avance estructural en la tutela de los derechos de los contribuyentes en Chile. Su diseño institucional como organismo técnico, autónomo y especializado le permite intervenir en distintas etapas del conflicto tributario: desde la orientación preventiva y el acompañamiento formativo, pasando por la mediación extrajudicial y la representación administrativa, hasta la emisión de opiniones técnicas con efectos verificables en la práctica forense y administrativa.</w:t>
      </w:r>
      <w:r w:rsidR="00B91E35" w:rsidRPr="0014579F">
        <w:rPr>
          <w:rFonts w:ascii="Bookman Old Style" w:hAnsi="Bookman Old Style"/>
        </w:rPr>
        <w:t xml:space="preserve"> </w:t>
      </w:r>
    </w:p>
    <w:p w14:paraId="01D16A91" w14:textId="77777777" w:rsidR="00A4023C" w:rsidRDefault="00A4023C" w:rsidP="00B91E35">
      <w:pPr>
        <w:spacing w:after="120" w:line="276" w:lineRule="auto"/>
        <w:jc w:val="both"/>
        <w:rPr>
          <w:rFonts w:ascii="Bookman Old Style" w:hAnsi="Bookman Old Style"/>
        </w:rPr>
      </w:pPr>
    </w:p>
    <w:p w14:paraId="2F4C743A" w14:textId="0066EAB2" w:rsidR="00A4023C" w:rsidRDefault="00A4023C" w:rsidP="00B91E35">
      <w:pPr>
        <w:spacing w:after="120"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Santiago, julio 2026</w:t>
      </w:r>
    </w:p>
    <w:p w14:paraId="33B6BF2A" w14:textId="77777777" w:rsidR="00A4023C" w:rsidRDefault="00A4023C" w:rsidP="00A4023C">
      <w:pPr>
        <w:spacing w:line="276" w:lineRule="auto"/>
        <w:jc w:val="center"/>
        <w:rPr>
          <w:rFonts w:ascii="Bookman Old Style" w:hAnsi="Bookman Old Style"/>
        </w:rPr>
      </w:pPr>
    </w:p>
    <w:p w14:paraId="4D976D13" w14:textId="389D29C0" w:rsidR="00A4023C" w:rsidRDefault="00A4023C" w:rsidP="00A4023C">
      <w:pPr>
        <w:spacing w:line="276" w:lineRule="auto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Comisión Tributaria</w:t>
      </w:r>
    </w:p>
    <w:p w14:paraId="10162AF8" w14:textId="005776BB" w:rsidR="00A4023C" w:rsidRPr="0014579F" w:rsidRDefault="00A4023C" w:rsidP="00A4023C">
      <w:pPr>
        <w:spacing w:line="276" w:lineRule="auto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Colegio de Abogados de Chile A.G.</w:t>
      </w:r>
    </w:p>
    <w:sectPr w:rsidR="00A4023C" w:rsidRPr="0014579F" w:rsidSect="00B91E35">
      <w:headerReference w:type="default" r:id="rId9"/>
      <w:footerReference w:type="default" r:id="rId10"/>
      <w:pgSz w:w="12240" w:h="20160" w:code="5"/>
      <w:pgMar w:top="72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5A996" w14:textId="77777777" w:rsidR="00E31DEC" w:rsidRDefault="00E31DEC">
      <w:r>
        <w:separator/>
      </w:r>
    </w:p>
  </w:endnote>
  <w:endnote w:type="continuationSeparator" w:id="0">
    <w:p w14:paraId="16C393D9" w14:textId="77777777" w:rsidR="00E31DEC" w:rsidRDefault="00E31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2607445"/>
      <w:docPartObj>
        <w:docPartGallery w:val="Page Numbers (Bottom of Page)"/>
        <w:docPartUnique/>
      </w:docPartObj>
    </w:sdtPr>
    <w:sdtContent>
      <w:p w14:paraId="5C62FFDA" w14:textId="37D3A8D8" w:rsidR="00A4023C" w:rsidRDefault="00A4023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287EA108" w14:textId="165BD765" w:rsidR="00862EAC" w:rsidRDefault="00862EAC" w:rsidP="00B91E35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78CD8" w14:textId="77777777" w:rsidR="00E31DEC" w:rsidRDefault="00E31DEC">
      <w:r>
        <w:separator/>
      </w:r>
    </w:p>
  </w:footnote>
  <w:footnote w:type="continuationSeparator" w:id="0">
    <w:p w14:paraId="5401606A" w14:textId="77777777" w:rsidR="00E31DEC" w:rsidRDefault="00E31D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D896E" w14:textId="2C4BF169" w:rsidR="00A4023C" w:rsidRDefault="00A4023C">
    <w:pPr>
      <w:pStyle w:val="Encabezado"/>
    </w:pPr>
    <w:r>
      <w:rPr>
        <w:noProof/>
      </w:rPr>
      <w:drawing>
        <wp:inline distT="0" distB="0" distL="0" distR="0" wp14:anchorId="787918A4" wp14:editId="7AD50D30">
          <wp:extent cx="1714500" cy="487383"/>
          <wp:effectExtent l="0" t="0" r="0" b="8255"/>
          <wp:docPr id="83877777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8777772" name="Imagen 8387777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786" cy="494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34959F" w14:textId="77777777" w:rsidR="00B91E35" w:rsidRDefault="00B91E35" w:rsidP="00B91E35">
    <w:pPr>
      <w:tabs>
        <w:tab w:val="right" w:pos="9026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F528B"/>
    <w:multiLevelType w:val="hybridMultilevel"/>
    <w:tmpl w:val="DA0EEBFC"/>
    <w:lvl w:ilvl="0" w:tplc="B9ACA0C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color w:val="00206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FA23F8"/>
    <w:multiLevelType w:val="hybridMultilevel"/>
    <w:tmpl w:val="1226BD58"/>
    <w:lvl w:ilvl="0" w:tplc="51EADC40">
      <w:start w:val="1"/>
      <w:numFmt w:val="bullet"/>
      <w:lvlText w:val="•"/>
      <w:lvlJc w:val="left"/>
      <w:pPr>
        <w:ind w:left="720" w:hanging="360"/>
      </w:pPr>
    </w:lvl>
    <w:lvl w:ilvl="1" w:tplc="46CEB42C">
      <w:numFmt w:val="decimal"/>
      <w:lvlText w:val=""/>
      <w:lvlJc w:val="left"/>
    </w:lvl>
    <w:lvl w:ilvl="2" w:tplc="891A4E78">
      <w:numFmt w:val="decimal"/>
      <w:lvlText w:val=""/>
      <w:lvlJc w:val="left"/>
    </w:lvl>
    <w:lvl w:ilvl="3" w:tplc="B7F6034E">
      <w:numFmt w:val="decimal"/>
      <w:lvlText w:val=""/>
      <w:lvlJc w:val="left"/>
    </w:lvl>
    <w:lvl w:ilvl="4" w:tplc="09C06D08">
      <w:numFmt w:val="decimal"/>
      <w:lvlText w:val=""/>
      <w:lvlJc w:val="left"/>
    </w:lvl>
    <w:lvl w:ilvl="5" w:tplc="2E26BD74">
      <w:numFmt w:val="decimal"/>
      <w:lvlText w:val=""/>
      <w:lvlJc w:val="left"/>
    </w:lvl>
    <w:lvl w:ilvl="6" w:tplc="90D4BE72">
      <w:numFmt w:val="decimal"/>
      <w:lvlText w:val=""/>
      <w:lvlJc w:val="left"/>
    </w:lvl>
    <w:lvl w:ilvl="7" w:tplc="ABF8ED4A">
      <w:numFmt w:val="decimal"/>
      <w:lvlText w:val=""/>
      <w:lvlJc w:val="left"/>
    </w:lvl>
    <w:lvl w:ilvl="8" w:tplc="C1127F72">
      <w:numFmt w:val="decimal"/>
      <w:lvlText w:val=""/>
      <w:lvlJc w:val="left"/>
    </w:lvl>
  </w:abstractNum>
  <w:abstractNum w:abstractNumId="2" w15:restartNumberingAfterBreak="0">
    <w:nsid w:val="52A2451E"/>
    <w:multiLevelType w:val="hybridMultilevel"/>
    <w:tmpl w:val="870EC9FA"/>
    <w:lvl w:ilvl="0" w:tplc="FF701CB2">
      <w:start w:val="1"/>
      <w:numFmt w:val="bullet"/>
      <w:lvlText w:val="●"/>
      <w:lvlJc w:val="left"/>
      <w:pPr>
        <w:ind w:left="720" w:hanging="360"/>
      </w:pPr>
    </w:lvl>
    <w:lvl w:ilvl="1" w:tplc="1A14E0EC">
      <w:start w:val="1"/>
      <w:numFmt w:val="bullet"/>
      <w:lvlText w:val="○"/>
      <w:lvlJc w:val="left"/>
      <w:pPr>
        <w:ind w:left="1440" w:hanging="360"/>
      </w:pPr>
    </w:lvl>
    <w:lvl w:ilvl="2" w:tplc="59A0C1DE">
      <w:start w:val="1"/>
      <w:numFmt w:val="bullet"/>
      <w:lvlText w:val="■"/>
      <w:lvlJc w:val="left"/>
      <w:pPr>
        <w:ind w:left="2160" w:hanging="360"/>
      </w:pPr>
    </w:lvl>
    <w:lvl w:ilvl="3" w:tplc="F8186E98">
      <w:start w:val="1"/>
      <w:numFmt w:val="bullet"/>
      <w:lvlText w:val="●"/>
      <w:lvlJc w:val="left"/>
      <w:pPr>
        <w:ind w:left="2880" w:hanging="360"/>
      </w:pPr>
    </w:lvl>
    <w:lvl w:ilvl="4" w:tplc="29BC72DA">
      <w:start w:val="1"/>
      <w:numFmt w:val="bullet"/>
      <w:lvlText w:val="○"/>
      <w:lvlJc w:val="left"/>
      <w:pPr>
        <w:ind w:left="3600" w:hanging="360"/>
      </w:pPr>
    </w:lvl>
    <w:lvl w:ilvl="5" w:tplc="8AD0AFA0">
      <w:start w:val="1"/>
      <w:numFmt w:val="bullet"/>
      <w:lvlText w:val="■"/>
      <w:lvlJc w:val="left"/>
      <w:pPr>
        <w:ind w:left="4320" w:hanging="360"/>
      </w:pPr>
    </w:lvl>
    <w:lvl w:ilvl="6" w:tplc="FF364DC2">
      <w:start w:val="1"/>
      <w:numFmt w:val="bullet"/>
      <w:lvlText w:val="●"/>
      <w:lvlJc w:val="left"/>
      <w:pPr>
        <w:ind w:left="5040" w:hanging="360"/>
      </w:pPr>
    </w:lvl>
    <w:lvl w:ilvl="7" w:tplc="6DE8C25C">
      <w:start w:val="1"/>
      <w:numFmt w:val="bullet"/>
      <w:lvlText w:val="●"/>
      <w:lvlJc w:val="left"/>
      <w:pPr>
        <w:ind w:left="5760" w:hanging="360"/>
      </w:pPr>
    </w:lvl>
    <w:lvl w:ilvl="8" w:tplc="DA1299B0">
      <w:start w:val="1"/>
      <w:numFmt w:val="bullet"/>
      <w:lvlText w:val="●"/>
      <w:lvlJc w:val="left"/>
      <w:pPr>
        <w:ind w:left="6480" w:hanging="360"/>
      </w:pPr>
    </w:lvl>
  </w:abstractNum>
  <w:num w:numId="1" w16cid:durableId="1039672151">
    <w:abstractNumId w:val="2"/>
    <w:lvlOverride w:ilvl="0">
      <w:startOverride w:val="1"/>
    </w:lvlOverride>
  </w:num>
  <w:num w:numId="2" w16cid:durableId="882644147">
    <w:abstractNumId w:val="1"/>
    <w:lvlOverride w:ilvl="0">
      <w:startOverride w:val="1"/>
    </w:lvlOverride>
  </w:num>
  <w:num w:numId="3" w16cid:durableId="257910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EAC"/>
    <w:rsid w:val="0014579F"/>
    <w:rsid w:val="001E4369"/>
    <w:rsid w:val="003429B7"/>
    <w:rsid w:val="005B2952"/>
    <w:rsid w:val="00812317"/>
    <w:rsid w:val="00862EAC"/>
    <w:rsid w:val="00880989"/>
    <w:rsid w:val="00A4023C"/>
    <w:rsid w:val="00B91E35"/>
    <w:rsid w:val="00E3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89B9E"/>
  <w15:docId w15:val="{48A988FE-3D25-403A-A090-CC37DFE6A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260" w:after="120"/>
      <w:outlineLvl w:val="0"/>
    </w:pPr>
    <w:rPr>
      <w:b/>
      <w:bCs/>
      <w:color w:val="1A3A5C"/>
      <w:sz w:val="26"/>
      <w:szCs w:val="26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14579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4579F"/>
  </w:style>
  <w:style w:type="paragraph" w:styleId="Piedepgina">
    <w:name w:val="footer"/>
    <w:basedOn w:val="Normal"/>
    <w:link w:val="PiedepginaCar"/>
    <w:uiPriority w:val="99"/>
    <w:unhideWhenUsed/>
    <w:rsid w:val="0014579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4579F"/>
  </w:style>
  <w:style w:type="paragraph" w:styleId="Sinespaciado">
    <w:name w:val="No Spacing"/>
    <w:uiPriority w:val="1"/>
    <w:qFormat/>
    <w:rsid w:val="001457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1185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Felipe Alliende</dc:creator>
  <cp:lastModifiedBy>Ana María Carbone</cp:lastModifiedBy>
  <cp:revision>2</cp:revision>
  <dcterms:created xsi:type="dcterms:W3CDTF">2026-07-22T15:43:00Z</dcterms:created>
  <dcterms:modified xsi:type="dcterms:W3CDTF">2026-07-22T15:43:00Z</dcterms:modified>
</cp:coreProperties>
</file>